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108" w:type="dxa"/>
        <w:tblBorders>
          <w:bottom w:val="single" w:sz="4" w:space="0" w:color="auto"/>
        </w:tblBorders>
        <w:tblLayout w:type="fixed"/>
        <w:tblLook w:val="01E0" w:firstRow="1" w:lastRow="1" w:firstColumn="1" w:lastColumn="1" w:noHBand="0" w:noVBand="0"/>
      </w:tblPr>
      <w:tblGrid>
        <w:gridCol w:w="2992"/>
        <w:gridCol w:w="6728"/>
      </w:tblGrid>
      <w:tr w:rsidR="00C96C16" w:rsidRPr="00C96C16" w:rsidTr="002E454E">
        <w:trPr>
          <w:trHeight w:val="1980"/>
        </w:trPr>
        <w:tc>
          <w:tcPr>
            <w:tcW w:w="2992" w:type="dxa"/>
            <w:shd w:val="clear" w:color="auto" w:fill="auto"/>
          </w:tcPr>
          <w:p w:rsidR="005158A9" w:rsidRPr="00C96C16" w:rsidRDefault="00457750" w:rsidP="002E454E">
            <w:pPr>
              <w:rPr>
                <w:color w:val="002060"/>
              </w:rPr>
            </w:pPr>
            <w:r w:rsidRPr="00C96C16">
              <w:rPr>
                <w:noProof/>
                <w:color w:val="002060"/>
              </w:rPr>
              <w:drawing>
                <wp:inline distT="0" distB="0" distL="0" distR="0" wp14:anchorId="38638C97" wp14:editId="5E155678">
                  <wp:extent cx="1682750" cy="1259205"/>
                  <wp:effectExtent l="19050" t="0" r="0" b="0"/>
                  <wp:docPr id="1" name="Picture 1" descr="FGD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GDC LOGO"/>
                          <pic:cNvPicPr>
                            <a:picLocks noChangeAspect="1" noChangeArrowheads="1"/>
                          </pic:cNvPicPr>
                        </pic:nvPicPr>
                        <pic:blipFill>
                          <a:blip r:embed="rId9" cstate="print"/>
                          <a:srcRect/>
                          <a:stretch>
                            <a:fillRect/>
                          </a:stretch>
                        </pic:blipFill>
                        <pic:spPr bwMode="auto">
                          <a:xfrm>
                            <a:off x="0" y="0"/>
                            <a:ext cx="1682750" cy="1259205"/>
                          </a:xfrm>
                          <a:prstGeom prst="rect">
                            <a:avLst/>
                          </a:prstGeom>
                          <a:noFill/>
                          <a:ln w="9525">
                            <a:noFill/>
                            <a:miter lim="800000"/>
                            <a:headEnd/>
                            <a:tailEnd/>
                          </a:ln>
                        </pic:spPr>
                      </pic:pic>
                    </a:graphicData>
                  </a:graphic>
                </wp:inline>
              </w:drawing>
            </w:r>
          </w:p>
        </w:tc>
        <w:tc>
          <w:tcPr>
            <w:tcW w:w="6728" w:type="dxa"/>
          </w:tcPr>
          <w:p w:rsidR="005158A9" w:rsidRPr="00C96C16" w:rsidRDefault="005158A9" w:rsidP="00BE5E27">
            <w:pPr>
              <w:jc w:val="center"/>
              <w:rPr>
                <w:b/>
                <w:color w:val="002060"/>
                <w:sz w:val="32"/>
                <w:szCs w:val="32"/>
              </w:rPr>
            </w:pPr>
            <w:r w:rsidRPr="00C96C16">
              <w:rPr>
                <w:b/>
                <w:color w:val="002060"/>
                <w:sz w:val="32"/>
                <w:szCs w:val="32"/>
              </w:rPr>
              <w:t>Federal Geographic Data Committee</w:t>
            </w:r>
          </w:p>
          <w:p w:rsidR="005158A9" w:rsidRPr="00C96C16" w:rsidRDefault="00D41E7D" w:rsidP="00BE5E27">
            <w:pPr>
              <w:jc w:val="center"/>
              <w:rPr>
                <w:b/>
                <w:color w:val="002060"/>
                <w:sz w:val="32"/>
                <w:szCs w:val="32"/>
              </w:rPr>
            </w:pPr>
            <w:r w:rsidRPr="00C96C16">
              <w:rPr>
                <w:b/>
                <w:color w:val="002060"/>
                <w:sz w:val="32"/>
                <w:szCs w:val="32"/>
              </w:rPr>
              <w:t>Standards Update</w:t>
            </w:r>
          </w:p>
          <w:p w:rsidR="00D41E7D" w:rsidRPr="00C96C16" w:rsidRDefault="00E578F3" w:rsidP="00BE5E27">
            <w:pPr>
              <w:jc w:val="center"/>
              <w:rPr>
                <w:b/>
                <w:color w:val="002060"/>
              </w:rPr>
            </w:pPr>
            <w:r>
              <w:rPr>
                <w:b/>
                <w:color w:val="002060"/>
                <w:sz w:val="32"/>
                <w:szCs w:val="32"/>
              </w:rPr>
              <w:t>June</w:t>
            </w:r>
            <w:r w:rsidR="004A79B5">
              <w:rPr>
                <w:b/>
                <w:color w:val="002060"/>
                <w:sz w:val="32"/>
                <w:szCs w:val="32"/>
              </w:rPr>
              <w:t xml:space="preserve"> 2015</w:t>
            </w:r>
          </w:p>
          <w:p w:rsidR="00217270" w:rsidRPr="00C96C16" w:rsidRDefault="00217270" w:rsidP="000F660C">
            <w:pPr>
              <w:rPr>
                <w:b/>
                <w:color w:val="002060"/>
              </w:rPr>
            </w:pPr>
            <w:r w:rsidRPr="00C96C16">
              <w:rPr>
                <w:b/>
                <w:color w:val="002060"/>
              </w:rPr>
              <w:t xml:space="preserve">                                      </w:t>
            </w:r>
          </w:p>
          <w:p w:rsidR="009D4AC4" w:rsidRPr="00C96C16" w:rsidRDefault="002A7646" w:rsidP="00D8376C">
            <w:pPr>
              <w:rPr>
                <w:b/>
                <w:color w:val="002060"/>
                <w:sz w:val="32"/>
                <w:szCs w:val="32"/>
              </w:rPr>
            </w:pPr>
            <w:r w:rsidRPr="00C96C16">
              <w:rPr>
                <w:b/>
                <w:color w:val="002060"/>
              </w:rPr>
              <w:t xml:space="preserve">Julie Binder Maitra, </w:t>
            </w:r>
            <w:hyperlink r:id="rId10" w:history="1">
              <w:r w:rsidR="004774EE" w:rsidRPr="00687E80">
                <w:rPr>
                  <w:rStyle w:val="Hyperlink"/>
                  <w:b/>
                </w:rPr>
                <w:t>jmaitra@fgdc.gov</w:t>
              </w:r>
            </w:hyperlink>
            <w:r w:rsidRPr="00C96C16">
              <w:rPr>
                <w:b/>
                <w:color w:val="002060"/>
              </w:rPr>
              <w:t>,</w:t>
            </w:r>
            <w:r w:rsidR="004774EE">
              <w:rPr>
                <w:b/>
                <w:color w:val="002060"/>
              </w:rPr>
              <w:t xml:space="preserve"> </w:t>
            </w:r>
            <w:r w:rsidRPr="00C96C16">
              <w:rPr>
                <w:b/>
                <w:color w:val="002060"/>
              </w:rPr>
              <w:t>703-648-4627</w:t>
            </w:r>
            <w:r w:rsidR="009D4AC4">
              <w:rPr>
                <w:b/>
                <w:color w:val="002060"/>
              </w:rPr>
              <w:t xml:space="preserve"> </w:t>
            </w:r>
          </w:p>
        </w:tc>
      </w:tr>
    </w:tbl>
    <w:p w:rsidR="004035D1" w:rsidRDefault="004035D1">
      <w:pPr>
        <w:pStyle w:val="TOC2"/>
        <w:tabs>
          <w:tab w:val="right" w:leader="dot" w:pos="10790"/>
        </w:tabs>
      </w:pPr>
    </w:p>
    <w:bookmarkStart w:id="0" w:name="_Toc401329373" w:displacedByCustomXml="next"/>
    <w:bookmarkStart w:id="1" w:name="_Toc401329428" w:displacedByCustomXml="next"/>
    <w:bookmarkStart w:id="2" w:name="_Toc405549116" w:displacedByCustomXml="next"/>
    <w:bookmarkStart w:id="3" w:name="_Toc409709697" w:displacedByCustomXml="next"/>
    <w:sdt>
      <w:sdtPr>
        <w:rPr>
          <w:rFonts w:ascii="Arial" w:eastAsia="Times New Roman" w:hAnsi="Arial" w:cs="Times New Roman"/>
          <w:b w:val="0"/>
          <w:bCs w:val="0"/>
          <w:color w:val="auto"/>
          <w:sz w:val="24"/>
          <w:szCs w:val="24"/>
          <w:lang w:eastAsia="en-US"/>
        </w:rPr>
        <w:id w:val="1349915486"/>
        <w:docPartObj>
          <w:docPartGallery w:val="Table of Contents"/>
          <w:docPartUnique/>
        </w:docPartObj>
      </w:sdtPr>
      <w:sdtEndPr>
        <w:rPr>
          <w:noProof/>
        </w:rPr>
      </w:sdtEndPr>
      <w:sdtContent>
        <w:p w:rsidR="00396204" w:rsidRDefault="00396204">
          <w:pPr>
            <w:pStyle w:val="TOCHeading"/>
          </w:pPr>
          <w:r>
            <w:t>Table of Contents</w:t>
          </w:r>
        </w:p>
        <w:p w:rsidR="002D60A5" w:rsidRDefault="00396204">
          <w:pPr>
            <w:pStyle w:val="TOC2"/>
            <w:tabs>
              <w:tab w:val="right" w:leader="dot" w:pos="1079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2750993" w:history="1">
            <w:r w:rsidR="002D60A5" w:rsidRPr="00DA098A">
              <w:rPr>
                <w:rStyle w:val="Hyperlink"/>
                <w:noProof/>
              </w:rPr>
              <w:t>FGDC</w:t>
            </w:r>
            <w:r w:rsidR="002D60A5">
              <w:rPr>
                <w:noProof/>
                <w:webHidden/>
              </w:rPr>
              <w:tab/>
            </w:r>
            <w:r w:rsidR="002D60A5">
              <w:rPr>
                <w:noProof/>
                <w:webHidden/>
              </w:rPr>
              <w:fldChar w:fldCharType="begin"/>
            </w:r>
            <w:r w:rsidR="002D60A5">
              <w:rPr>
                <w:noProof/>
                <w:webHidden/>
              </w:rPr>
              <w:instrText xml:space="preserve"> PAGEREF _Toc422750993 \h </w:instrText>
            </w:r>
            <w:r w:rsidR="002D60A5">
              <w:rPr>
                <w:noProof/>
                <w:webHidden/>
              </w:rPr>
            </w:r>
            <w:r w:rsidR="002D60A5">
              <w:rPr>
                <w:noProof/>
                <w:webHidden/>
              </w:rPr>
              <w:fldChar w:fldCharType="separate"/>
            </w:r>
            <w:r w:rsidR="002D60A5">
              <w:rPr>
                <w:noProof/>
                <w:webHidden/>
              </w:rPr>
              <w:t>1</w:t>
            </w:r>
            <w:r w:rsidR="002D60A5">
              <w:rPr>
                <w:noProof/>
                <w:webHidden/>
              </w:rPr>
              <w:fldChar w:fldCharType="end"/>
            </w:r>
          </w:hyperlink>
        </w:p>
        <w:p w:rsidR="002D60A5" w:rsidRDefault="003D6CAF">
          <w:pPr>
            <w:pStyle w:val="TOC2"/>
            <w:tabs>
              <w:tab w:val="right" w:leader="dot" w:pos="10790"/>
            </w:tabs>
            <w:rPr>
              <w:rFonts w:asciiTheme="minorHAnsi" w:eastAsiaTheme="minorEastAsia" w:hAnsiTheme="minorHAnsi" w:cstheme="minorBidi"/>
              <w:noProof/>
              <w:sz w:val="22"/>
              <w:szCs w:val="22"/>
            </w:rPr>
          </w:pPr>
          <w:hyperlink w:anchor="_Toc422750994" w:history="1">
            <w:r w:rsidR="002D60A5" w:rsidRPr="00DA098A">
              <w:rPr>
                <w:rStyle w:val="Hyperlink"/>
                <w:noProof/>
              </w:rPr>
              <w:t>INCITS Technical Committee L1, Geographic information systems – U.S. Technical Advisory Group to ISO Technical Committee 211, Geographic information/Geomatics</w:t>
            </w:r>
            <w:r w:rsidR="002D60A5">
              <w:rPr>
                <w:noProof/>
                <w:webHidden/>
              </w:rPr>
              <w:tab/>
            </w:r>
            <w:r w:rsidR="002D60A5">
              <w:rPr>
                <w:noProof/>
                <w:webHidden/>
              </w:rPr>
              <w:fldChar w:fldCharType="begin"/>
            </w:r>
            <w:r w:rsidR="002D60A5">
              <w:rPr>
                <w:noProof/>
                <w:webHidden/>
              </w:rPr>
              <w:instrText xml:space="preserve"> PAGEREF _Toc422750994 \h </w:instrText>
            </w:r>
            <w:r w:rsidR="002D60A5">
              <w:rPr>
                <w:noProof/>
                <w:webHidden/>
              </w:rPr>
            </w:r>
            <w:r w:rsidR="002D60A5">
              <w:rPr>
                <w:noProof/>
                <w:webHidden/>
              </w:rPr>
              <w:fldChar w:fldCharType="separate"/>
            </w:r>
            <w:r w:rsidR="002D60A5">
              <w:rPr>
                <w:noProof/>
                <w:webHidden/>
              </w:rPr>
              <w:t>2</w:t>
            </w:r>
            <w:r w:rsidR="002D60A5">
              <w:rPr>
                <w:noProof/>
                <w:webHidden/>
              </w:rPr>
              <w:fldChar w:fldCharType="end"/>
            </w:r>
          </w:hyperlink>
        </w:p>
        <w:p w:rsidR="002D60A5" w:rsidRDefault="003D6CAF">
          <w:pPr>
            <w:pStyle w:val="TOC2"/>
            <w:tabs>
              <w:tab w:val="right" w:leader="dot" w:pos="10790"/>
            </w:tabs>
            <w:rPr>
              <w:rFonts w:asciiTheme="minorHAnsi" w:eastAsiaTheme="minorEastAsia" w:hAnsiTheme="minorHAnsi" w:cstheme="minorBidi"/>
              <w:noProof/>
              <w:sz w:val="22"/>
              <w:szCs w:val="22"/>
            </w:rPr>
          </w:pPr>
          <w:hyperlink w:anchor="_Toc422750995" w:history="1">
            <w:r w:rsidR="002D60A5" w:rsidRPr="00DA098A">
              <w:rPr>
                <w:rStyle w:val="Hyperlink"/>
                <w:noProof/>
              </w:rPr>
              <w:t>Open Geospatial Consortium</w:t>
            </w:r>
            <w:r w:rsidR="002D60A5">
              <w:rPr>
                <w:noProof/>
                <w:webHidden/>
              </w:rPr>
              <w:tab/>
            </w:r>
            <w:r w:rsidR="002D60A5">
              <w:rPr>
                <w:noProof/>
                <w:webHidden/>
              </w:rPr>
              <w:fldChar w:fldCharType="begin"/>
            </w:r>
            <w:r w:rsidR="002D60A5">
              <w:rPr>
                <w:noProof/>
                <w:webHidden/>
              </w:rPr>
              <w:instrText xml:space="preserve"> PAGEREF _Toc422750995 \h </w:instrText>
            </w:r>
            <w:r w:rsidR="002D60A5">
              <w:rPr>
                <w:noProof/>
                <w:webHidden/>
              </w:rPr>
            </w:r>
            <w:r w:rsidR="002D60A5">
              <w:rPr>
                <w:noProof/>
                <w:webHidden/>
              </w:rPr>
              <w:fldChar w:fldCharType="separate"/>
            </w:r>
            <w:r w:rsidR="002D60A5">
              <w:rPr>
                <w:noProof/>
                <w:webHidden/>
              </w:rPr>
              <w:t>2</w:t>
            </w:r>
            <w:r w:rsidR="002D60A5">
              <w:rPr>
                <w:noProof/>
                <w:webHidden/>
              </w:rPr>
              <w:fldChar w:fldCharType="end"/>
            </w:r>
          </w:hyperlink>
        </w:p>
        <w:p w:rsidR="002D60A5" w:rsidRDefault="003D6CAF">
          <w:pPr>
            <w:pStyle w:val="TOC2"/>
            <w:tabs>
              <w:tab w:val="right" w:leader="dot" w:pos="10790"/>
            </w:tabs>
            <w:rPr>
              <w:rFonts w:asciiTheme="minorHAnsi" w:eastAsiaTheme="minorEastAsia" w:hAnsiTheme="minorHAnsi" w:cstheme="minorBidi"/>
              <w:noProof/>
              <w:sz w:val="22"/>
              <w:szCs w:val="22"/>
            </w:rPr>
          </w:pPr>
          <w:hyperlink w:anchor="_Toc422750996" w:history="1">
            <w:r w:rsidR="002D60A5" w:rsidRPr="00DA098A">
              <w:rPr>
                <w:rStyle w:val="Hyperlink"/>
                <w:noProof/>
              </w:rPr>
              <w:t>Geospatial-Intelligence Standards WG (GWG)</w:t>
            </w:r>
            <w:r w:rsidR="002D60A5">
              <w:rPr>
                <w:noProof/>
                <w:webHidden/>
              </w:rPr>
              <w:tab/>
            </w:r>
            <w:r w:rsidR="002D60A5">
              <w:rPr>
                <w:noProof/>
                <w:webHidden/>
              </w:rPr>
              <w:fldChar w:fldCharType="begin"/>
            </w:r>
            <w:r w:rsidR="002D60A5">
              <w:rPr>
                <w:noProof/>
                <w:webHidden/>
              </w:rPr>
              <w:instrText xml:space="preserve"> PAGEREF _Toc422750996 \h </w:instrText>
            </w:r>
            <w:r w:rsidR="002D60A5">
              <w:rPr>
                <w:noProof/>
                <w:webHidden/>
              </w:rPr>
            </w:r>
            <w:r w:rsidR="002D60A5">
              <w:rPr>
                <w:noProof/>
                <w:webHidden/>
              </w:rPr>
              <w:fldChar w:fldCharType="separate"/>
            </w:r>
            <w:r w:rsidR="002D60A5">
              <w:rPr>
                <w:noProof/>
                <w:webHidden/>
              </w:rPr>
              <w:t>3</w:t>
            </w:r>
            <w:r w:rsidR="002D60A5">
              <w:rPr>
                <w:noProof/>
                <w:webHidden/>
              </w:rPr>
              <w:fldChar w:fldCharType="end"/>
            </w:r>
          </w:hyperlink>
        </w:p>
        <w:p w:rsidR="002D60A5" w:rsidRDefault="003D6CAF">
          <w:pPr>
            <w:pStyle w:val="TOC2"/>
            <w:tabs>
              <w:tab w:val="right" w:leader="dot" w:pos="10790"/>
            </w:tabs>
            <w:rPr>
              <w:rFonts w:asciiTheme="minorHAnsi" w:eastAsiaTheme="minorEastAsia" w:hAnsiTheme="minorHAnsi" w:cstheme="minorBidi"/>
              <w:noProof/>
              <w:sz w:val="22"/>
              <w:szCs w:val="22"/>
            </w:rPr>
          </w:pPr>
          <w:hyperlink w:anchor="_Toc422750997" w:history="1">
            <w:r w:rsidR="002D60A5" w:rsidRPr="00DA098A">
              <w:rPr>
                <w:rStyle w:val="Hyperlink"/>
                <w:noProof/>
              </w:rPr>
              <w:t>Other</w:t>
            </w:r>
            <w:r w:rsidR="002D60A5">
              <w:rPr>
                <w:noProof/>
                <w:webHidden/>
              </w:rPr>
              <w:tab/>
            </w:r>
            <w:r w:rsidR="002D60A5">
              <w:rPr>
                <w:noProof/>
                <w:webHidden/>
              </w:rPr>
              <w:fldChar w:fldCharType="begin"/>
            </w:r>
            <w:r w:rsidR="002D60A5">
              <w:rPr>
                <w:noProof/>
                <w:webHidden/>
              </w:rPr>
              <w:instrText xml:space="preserve"> PAGEREF _Toc422750997 \h </w:instrText>
            </w:r>
            <w:r w:rsidR="002D60A5">
              <w:rPr>
                <w:noProof/>
                <w:webHidden/>
              </w:rPr>
            </w:r>
            <w:r w:rsidR="002D60A5">
              <w:rPr>
                <w:noProof/>
                <w:webHidden/>
              </w:rPr>
              <w:fldChar w:fldCharType="separate"/>
            </w:r>
            <w:r w:rsidR="002D60A5">
              <w:rPr>
                <w:noProof/>
                <w:webHidden/>
              </w:rPr>
              <w:t>3</w:t>
            </w:r>
            <w:r w:rsidR="002D60A5">
              <w:rPr>
                <w:noProof/>
                <w:webHidden/>
              </w:rPr>
              <w:fldChar w:fldCharType="end"/>
            </w:r>
          </w:hyperlink>
        </w:p>
        <w:p w:rsidR="00396204" w:rsidRDefault="00396204">
          <w:r>
            <w:rPr>
              <w:b/>
              <w:bCs/>
              <w:noProof/>
            </w:rPr>
            <w:fldChar w:fldCharType="end"/>
          </w:r>
        </w:p>
      </w:sdtContent>
    </w:sdt>
    <w:p w:rsidR="00792E65" w:rsidRDefault="00D41E7D" w:rsidP="00772A4F">
      <w:pPr>
        <w:pStyle w:val="Heading2"/>
      </w:pPr>
      <w:bookmarkStart w:id="4" w:name="_Toc422750993"/>
      <w:r w:rsidRPr="00202DE1">
        <w:t>FGDC</w:t>
      </w:r>
      <w:bookmarkEnd w:id="3"/>
      <w:bookmarkEnd w:id="2"/>
      <w:bookmarkEnd w:id="1"/>
      <w:bookmarkEnd w:id="0"/>
      <w:bookmarkEnd w:id="4"/>
    </w:p>
    <w:p w:rsidR="00AB4926" w:rsidRPr="00AB4926" w:rsidRDefault="00AB4926" w:rsidP="009F75E4">
      <w:pPr>
        <w:rPr>
          <w:rStyle w:val="IntenseEmphasis"/>
        </w:rPr>
      </w:pPr>
      <w:r>
        <w:rPr>
          <w:rStyle w:val="IntenseEmphasis"/>
        </w:rPr>
        <w:t>Standards pending FGDC Steering Committee endorsement</w:t>
      </w:r>
    </w:p>
    <w:p w:rsidR="00AB4926" w:rsidRDefault="00AB4926" w:rsidP="009F75E4">
      <w:r>
        <w:t xml:space="preserve">The FGDC Steering Committee </w:t>
      </w:r>
      <w:r w:rsidR="002B0041">
        <w:t>endorsed the following standards</w:t>
      </w:r>
      <w:r>
        <w:t>:</w:t>
      </w:r>
    </w:p>
    <w:p w:rsidR="00AB4926" w:rsidRDefault="00AB4926" w:rsidP="009F75E4"/>
    <w:p w:rsidR="00AB4926" w:rsidRDefault="00AB4926" w:rsidP="004F4922">
      <w:pPr>
        <w:pStyle w:val="ListParagraph"/>
        <w:numPr>
          <w:ilvl w:val="0"/>
          <w:numId w:val="1"/>
        </w:numPr>
      </w:pPr>
      <w:r>
        <w:t>Aeronautical Information Exchange Model (AIXM) 5.1</w:t>
      </w:r>
    </w:p>
    <w:p w:rsidR="00AB4926" w:rsidRDefault="00AB4926" w:rsidP="004F4922">
      <w:pPr>
        <w:pStyle w:val="ListParagraph"/>
        <w:numPr>
          <w:ilvl w:val="0"/>
          <w:numId w:val="1"/>
        </w:numPr>
      </w:pPr>
      <w:r>
        <w:t>ISO/IEC 15444-1:2004 Technical Corrigenda 1:2007 and 2:2008 JPEG 2000</w:t>
      </w:r>
    </w:p>
    <w:p w:rsidR="00AB4926" w:rsidRDefault="00AB4926" w:rsidP="004F4922">
      <w:pPr>
        <w:pStyle w:val="ListParagraph"/>
        <w:numPr>
          <w:ilvl w:val="0"/>
          <w:numId w:val="1"/>
        </w:numPr>
      </w:pPr>
      <w:r>
        <w:t xml:space="preserve">OGC </w:t>
      </w:r>
      <w:proofErr w:type="spellStart"/>
      <w:r>
        <w:t>GeoPackage</w:t>
      </w:r>
      <w:proofErr w:type="spellEnd"/>
      <w:r>
        <w:t xml:space="preserve"> 1.0</w:t>
      </w:r>
    </w:p>
    <w:p w:rsidR="00AB4926" w:rsidRDefault="00AB4926" w:rsidP="004F4922">
      <w:pPr>
        <w:pStyle w:val="ListParagraph"/>
        <w:numPr>
          <w:ilvl w:val="0"/>
          <w:numId w:val="1"/>
        </w:numPr>
      </w:pPr>
      <w:r>
        <w:t>Geopolitical Entities, Names, and Codes (GENC) Standard Edition 2</w:t>
      </w:r>
    </w:p>
    <w:p w:rsidR="00AB4926" w:rsidRDefault="00AB4926" w:rsidP="004F4922">
      <w:pPr>
        <w:pStyle w:val="ListParagraph"/>
        <w:numPr>
          <w:ilvl w:val="0"/>
          <w:numId w:val="1"/>
        </w:numPr>
      </w:pPr>
      <w:proofErr w:type="spellStart"/>
      <w:r>
        <w:t>GeoRSS</w:t>
      </w:r>
      <w:proofErr w:type="spellEnd"/>
      <w:r>
        <w:t xml:space="preserve">-Simple and </w:t>
      </w:r>
      <w:proofErr w:type="spellStart"/>
      <w:r>
        <w:t>GeoRSS</w:t>
      </w:r>
      <w:proofErr w:type="spellEnd"/>
      <w:r>
        <w:t>-GML</w:t>
      </w:r>
    </w:p>
    <w:p w:rsidR="001C2387" w:rsidRDefault="001C2387" w:rsidP="001C2387">
      <w:pPr>
        <w:ind w:left="360"/>
      </w:pPr>
    </w:p>
    <w:p w:rsidR="00AB4926" w:rsidRPr="00AB4926" w:rsidRDefault="00AB4926" w:rsidP="009F75E4">
      <w:pPr>
        <w:rPr>
          <w:rStyle w:val="IntenseEmphasis"/>
        </w:rPr>
      </w:pPr>
      <w:r>
        <w:rPr>
          <w:rStyle w:val="IntenseEmphasis"/>
        </w:rPr>
        <w:t>June 18, 2015 FGDC Standards Working Group meeting</w:t>
      </w:r>
    </w:p>
    <w:p w:rsidR="00AB4926" w:rsidRDefault="000D3592" w:rsidP="009F75E4">
      <w:r>
        <w:t xml:space="preserve">The FGDC Standards WG meeting </w:t>
      </w:r>
      <w:r w:rsidR="00E578F3">
        <w:t>was held on</w:t>
      </w:r>
      <w:r>
        <w:t xml:space="preserve"> </w:t>
      </w:r>
      <w:r w:rsidRPr="000D3592">
        <w:rPr>
          <w:b/>
        </w:rPr>
        <w:t>Thursday, June 18, 2015</w:t>
      </w:r>
      <w:r w:rsidR="003240CB" w:rsidRPr="003240CB">
        <w:t>, at DHS</w:t>
      </w:r>
      <w:r w:rsidR="00E578F3">
        <w:t xml:space="preserve">. </w:t>
      </w:r>
    </w:p>
    <w:p w:rsidR="00E578F3" w:rsidRDefault="00E578F3" w:rsidP="00E578F3"/>
    <w:p w:rsidR="00AB4926" w:rsidRDefault="00E578F3" w:rsidP="00E578F3">
      <w:r>
        <w:t xml:space="preserve">The </w:t>
      </w:r>
      <w:r w:rsidR="005411DC">
        <w:t xml:space="preserve">SWG </w:t>
      </w:r>
      <w:r>
        <w:t>recommended CG approval</w:t>
      </w:r>
      <w:r w:rsidR="005411DC">
        <w:t xml:space="preserve"> of </w:t>
      </w:r>
      <w:r w:rsidR="00AB4926" w:rsidRPr="00AB4926">
        <w:t>draft Part 2, Digital orthoimagery (revised), of the Geographic Information Framework Data Standard</w:t>
      </w:r>
      <w:r>
        <w:t xml:space="preserve"> for FGDC endorsement.</w:t>
      </w:r>
    </w:p>
    <w:p w:rsidR="006B6F88" w:rsidRDefault="006B6F88" w:rsidP="00E578F3"/>
    <w:p w:rsidR="00A739D6" w:rsidRPr="002A17E5" w:rsidRDefault="00A739D6" w:rsidP="002A17E5">
      <w:pPr>
        <w:shd w:val="clear" w:color="auto" w:fill="EEECE1" w:themeFill="background2"/>
        <w:rPr>
          <w:sz w:val="20"/>
          <w:szCs w:val="20"/>
        </w:rPr>
      </w:pPr>
      <w:r w:rsidRPr="002A17E5">
        <w:rPr>
          <w:sz w:val="20"/>
          <w:szCs w:val="20"/>
        </w:rPr>
        <w:t>The primary purpose of Part 2, Digital orthoimagery (revised) of the Geographic Information Framework Data Content Standard is to support the exchange of orthoimagery data.  This part will provide a base on which to collect, register, and integrate digital geospatial information accurately.</w:t>
      </w:r>
    </w:p>
    <w:p w:rsidR="00A739D6" w:rsidRPr="002A17E5" w:rsidRDefault="00A739D6" w:rsidP="002A17E5">
      <w:pPr>
        <w:shd w:val="clear" w:color="auto" w:fill="EEECE1" w:themeFill="background2"/>
        <w:rPr>
          <w:sz w:val="20"/>
          <w:szCs w:val="20"/>
        </w:rPr>
      </w:pPr>
    </w:p>
    <w:p w:rsidR="00A739D6" w:rsidRPr="002A17E5" w:rsidRDefault="00A739D6" w:rsidP="002A17E5">
      <w:pPr>
        <w:shd w:val="clear" w:color="auto" w:fill="EEECE1" w:themeFill="background2"/>
        <w:rPr>
          <w:sz w:val="20"/>
          <w:szCs w:val="20"/>
        </w:rPr>
      </w:pPr>
      <w:r w:rsidRPr="002A17E5">
        <w:rPr>
          <w:sz w:val="20"/>
          <w:szCs w:val="20"/>
        </w:rPr>
        <w:t>Part 2, Digital orthoimagery (revised) specifies data content and logical structure for description and interchange of framework digital orthoimagery.  It also provides guidelines for acquisition and processing of imagery and specifies documentation of those acquisition and processing steps.  It focuses on images sensed in the visible to near infrared portion of the electromagnetic spectrum; however, images captured from other portions of the electromagnetic spectrum are not precluded.  It stresses complete and accurate reporting of information relating to quality control and standards employed in testing orthoimagery data.  Lastly, it includes a data dictionary based on its conceptual schema</w:t>
      </w:r>
    </w:p>
    <w:p w:rsidR="00A739D6" w:rsidRPr="002A17E5" w:rsidRDefault="00A739D6" w:rsidP="002A17E5">
      <w:pPr>
        <w:shd w:val="clear" w:color="auto" w:fill="EEECE1" w:themeFill="background2"/>
        <w:rPr>
          <w:sz w:val="20"/>
          <w:szCs w:val="20"/>
        </w:rPr>
      </w:pPr>
    </w:p>
    <w:p w:rsidR="006B6F88" w:rsidRPr="002A17E5" w:rsidRDefault="00A739D6" w:rsidP="002A17E5">
      <w:pPr>
        <w:shd w:val="clear" w:color="auto" w:fill="EEECE1" w:themeFill="background2"/>
        <w:rPr>
          <w:sz w:val="20"/>
          <w:szCs w:val="20"/>
        </w:rPr>
      </w:pPr>
      <w:r w:rsidRPr="002A17E5">
        <w:rPr>
          <w:sz w:val="20"/>
          <w:szCs w:val="20"/>
        </w:rPr>
        <w:lastRenderedPageBreak/>
        <w:t>This revision primarily replaces the analog camera references with current digital sensors and recognizes satellite technology for digital orthoimagery production. The 2014 version of this standard was revised with the support of members of the American Society for Photogrammetry and Remote Sensing (ASPRS).</w:t>
      </w:r>
    </w:p>
    <w:p w:rsidR="00A739D6" w:rsidRDefault="00A739D6" w:rsidP="00E578F3"/>
    <w:p w:rsidR="005411DC" w:rsidRDefault="00E578F3" w:rsidP="005411DC">
      <w:r>
        <w:t xml:space="preserve">There were presentations on </w:t>
      </w:r>
      <w:r w:rsidR="005411DC" w:rsidRPr="005411DC">
        <w:t>2015 ASPRS Positional Accuracy Standards for Digital Geospatial Data</w:t>
      </w:r>
      <w:r w:rsidR="00F16A85">
        <w:t>;</w:t>
      </w:r>
      <w:r>
        <w:t xml:space="preserve"> </w:t>
      </w:r>
      <w:r w:rsidR="005411DC" w:rsidRPr="005411DC">
        <w:t>Infrastructure for Spatial Information in the European Community (INSPIRE)</w:t>
      </w:r>
      <w:r w:rsidR="00F16A85">
        <w:t>;</w:t>
      </w:r>
      <w:r>
        <w:t xml:space="preserve"> and </w:t>
      </w:r>
      <w:r w:rsidR="005411DC">
        <w:t>Geospatial Platform and standards</w:t>
      </w:r>
      <w:r>
        <w:t xml:space="preserve">.  </w:t>
      </w:r>
      <w:r w:rsidR="005411DC">
        <w:t xml:space="preserve">Topics help fulfill </w:t>
      </w:r>
      <w:r w:rsidR="00747CDB" w:rsidRPr="00747CDB">
        <w:t>Action 3.1.1</w:t>
      </w:r>
      <w:r w:rsidR="005411DC">
        <w:t xml:space="preserve">, </w:t>
      </w:r>
      <w:r w:rsidR="00747CDB" w:rsidRPr="00747CDB">
        <w:t>Consult and collaborate with both existing and emerging geospatial communities to advance common standards and approaches</w:t>
      </w:r>
      <w:r w:rsidR="00747CDB">
        <w:t xml:space="preserve">, </w:t>
      </w:r>
      <w:r w:rsidR="005411DC">
        <w:t xml:space="preserve">of </w:t>
      </w:r>
      <w:r w:rsidR="00836C62">
        <w:t>the NSDI Strategic Plan.</w:t>
      </w:r>
    </w:p>
    <w:p w:rsidR="00E578F3" w:rsidRDefault="00E578F3" w:rsidP="005411DC"/>
    <w:p w:rsidR="00E578F3" w:rsidRDefault="00E578F3" w:rsidP="005411DC">
      <w:pPr>
        <w:rPr>
          <w:rStyle w:val="IntenseEmphasis"/>
        </w:rPr>
      </w:pPr>
      <w:r w:rsidRPr="00E578F3">
        <w:rPr>
          <w:rStyle w:val="IntenseEmphasis"/>
        </w:rPr>
        <w:t>July 14, 2015 FGDC Coordination Group meeting</w:t>
      </w:r>
    </w:p>
    <w:p w:rsidR="00E578F3" w:rsidRPr="00E578F3" w:rsidRDefault="00E578F3" w:rsidP="00E578F3">
      <w:pPr>
        <w:rPr>
          <w:rStyle w:val="IntenseEmphasis"/>
          <w:b w:val="0"/>
          <w:i w:val="0"/>
          <w:color w:val="000000" w:themeColor="text1"/>
        </w:rPr>
      </w:pPr>
      <w:r w:rsidRPr="00E578F3">
        <w:rPr>
          <w:rStyle w:val="IntenseEmphasis"/>
          <w:b w:val="0"/>
          <w:i w:val="0"/>
          <w:color w:val="000000" w:themeColor="text1"/>
        </w:rPr>
        <w:t>The FGDC Standards WG chair</w:t>
      </w:r>
      <w:r>
        <w:rPr>
          <w:rStyle w:val="IntenseEmphasis"/>
          <w:b w:val="0"/>
          <w:i w:val="0"/>
          <w:color w:val="000000" w:themeColor="text1"/>
        </w:rPr>
        <w:t xml:space="preserve"> will give an update on SWG activities at the July 14, </w:t>
      </w:r>
      <w:r w:rsidR="006B6F88">
        <w:rPr>
          <w:rStyle w:val="IntenseEmphasis"/>
          <w:b w:val="0"/>
          <w:i w:val="0"/>
          <w:color w:val="000000" w:themeColor="text1"/>
        </w:rPr>
        <w:t>2015</w:t>
      </w:r>
      <w:r>
        <w:rPr>
          <w:rStyle w:val="IntenseEmphasis"/>
          <w:b w:val="0"/>
          <w:i w:val="0"/>
          <w:color w:val="000000" w:themeColor="text1"/>
        </w:rPr>
        <w:t xml:space="preserve"> FGDC Coordination Group meeting.</w:t>
      </w:r>
      <w:r w:rsidR="00747CDB">
        <w:rPr>
          <w:rStyle w:val="IntenseEmphasis"/>
          <w:b w:val="0"/>
          <w:i w:val="0"/>
          <w:color w:val="000000" w:themeColor="text1"/>
        </w:rPr>
        <w:t xml:space="preserve">  She will also discuss Objective 3.1</w:t>
      </w:r>
      <w:r w:rsidR="00BA3CD8">
        <w:rPr>
          <w:rStyle w:val="IntenseEmphasis"/>
          <w:b w:val="0"/>
          <w:i w:val="0"/>
          <w:color w:val="000000" w:themeColor="text1"/>
        </w:rPr>
        <w:t>, Lead</w:t>
      </w:r>
      <w:r w:rsidR="00BA3CD8" w:rsidRPr="00BA3CD8">
        <w:rPr>
          <w:rStyle w:val="IntenseEmphasis"/>
          <w:b w:val="0"/>
          <w:i w:val="0"/>
          <w:color w:val="000000" w:themeColor="text1"/>
        </w:rPr>
        <w:t xml:space="preserve"> and participate in the development and coordination of national and international standards applicable to the geospatial community</w:t>
      </w:r>
      <w:r w:rsidR="00BA3CD8">
        <w:rPr>
          <w:rStyle w:val="IntenseEmphasis"/>
          <w:b w:val="0"/>
          <w:i w:val="0"/>
          <w:color w:val="000000" w:themeColor="text1"/>
        </w:rPr>
        <w:t>, of the 2014-2016 NSDI Strategic Plan.</w:t>
      </w:r>
    </w:p>
    <w:p w:rsidR="00836C62" w:rsidRDefault="00836C62" w:rsidP="005411DC"/>
    <w:p w:rsidR="00836C62" w:rsidRPr="00836C62" w:rsidRDefault="00836C62" w:rsidP="005411DC">
      <w:pPr>
        <w:rPr>
          <w:rStyle w:val="IntenseEmphasis"/>
        </w:rPr>
      </w:pPr>
      <w:r w:rsidRPr="00836C62">
        <w:rPr>
          <w:rStyle w:val="IntenseEmphasis"/>
        </w:rPr>
        <w:t xml:space="preserve">FGDC Standards WG on </w:t>
      </w:r>
      <w:proofErr w:type="spellStart"/>
      <w:r w:rsidRPr="00836C62">
        <w:rPr>
          <w:rStyle w:val="IntenseEmphasis"/>
        </w:rPr>
        <w:t>Linkedin</w:t>
      </w:r>
      <w:proofErr w:type="spellEnd"/>
    </w:p>
    <w:p w:rsidR="005F501B" w:rsidRDefault="00AA16D6" w:rsidP="00772A4F">
      <w:r>
        <w:t xml:space="preserve">Julie Maitra has created a </w:t>
      </w:r>
      <w:r w:rsidR="00232465">
        <w:t xml:space="preserve">private </w:t>
      </w:r>
      <w:proofErr w:type="spellStart"/>
      <w:r>
        <w:t>Linkedin</w:t>
      </w:r>
      <w:proofErr w:type="spellEnd"/>
      <w:r>
        <w:t xml:space="preserve"> group for the FGDC Standards WG: </w:t>
      </w:r>
      <w:hyperlink r:id="rId11" w:history="1">
        <w:r w:rsidRPr="00AC282E">
          <w:rPr>
            <w:rStyle w:val="Hyperlink"/>
          </w:rPr>
          <w:t>https://www.linkedin.com/groups?home=&amp;gid=8243676</w:t>
        </w:r>
      </w:hyperlink>
      <w:r>
        <w:t xml:space="preserve">. </w:t>
      </w:r>
      <w:r w:rsidR="00232465">
        <w:t xml:space="preserve">Please contact her if you would </w:t>
      </w:r>
      <w:r w:rsidR="00204BED">
        <w:t>like to join.</w:t>
      </w:r>
      <w:r w:rsidR="00232465">
        <w:t xml:space="preserve"> </w:t>
      </w:r>
    </w:p>
    <w:p w:rsidR="002A5576" w:rsidRDefault="00D41E7D" w:rsidP="00337D96">
      <w:pPr>
        <w:pStyle w:val="Heading2"/>
      </w:pPr>
      <w:bookmarkStart w:id="5" w:name="_Toc401329374"/>
      <w:bookmarkStart w:id="6" w:name="_Toc401329429"/>
      <w:bookmarkStart w:id="7" w:name="_Toc405549117"/>
      <w:bookmarkStart w:id="8" w:name="_Toc409709698"/>
      <w:bookmarkStart w:id="9" w:name="_Toc422750994"/>
      <w:r w:rsidRPr="00202DE1">
        <w:t xml:space="preserve">INCITS </w:t>
      </w:r>
      <w:r w:rsidR="00736E59" w:rsidRPr="00202DE1">
        <w:t xml:space="preserve">Technical Committee </w:t>
      </w:r>
      <w:r w:rsidRPr="00202DE1">
        <w:t>L1</w:t>
      </w:r>
      <w:r w:rsidR="00736E59" w:rsidRPr="00202DE1">
        <w:t>, Geographic information systems</w:t>
      </w:r>
      <w:r w:rsidR="0065596A">
        <w:t xml:space="preserve"> – U.S. Technical Advisory Group to ISO Technical Committee 211, Geographic information/Geomatics</w:t>
      </w:r>
      <w:bookmarkEnd w:id="5"/>
      <w:bookmarkEnd w:id="6"/>
      <w:bookmarkEnd w:id="7"/>
      <w:bookmarkEnd w:id="8"/>
      <w:bookmarkEnd w:id="9"/>
    </w:p>
    <w:p w:rsidR="005A020E" w:rsidRDefault="00ED7957" w:rsidP="003240CB">
      <w:pPr>
        <w:pStyle w:val="Default"/>
      </w:pPr>
      <w:r w:rsidRPr="009342AD">
        <w:rPr>
          <w:rFonts w:ascii="Arial" w:hAnsi="Arial" w:cs="Arial"/>
        </w:rPr>
        <w:t xml:space="preserve">The British Standards Institute (BSI) </w:t>
      </w:r>
      <w:r w:rsidR="00A50563" w:rsidRPr="009342AD">
        <w:rPr>
          <w:rFonts w:ascii="Arial" w:hAnsi="Arial" w:cs="Arial"/>
        </w:rPr>
        <w:t>hosted</w:t>
      </w:r>
      <w:r w:rsidR="0050026A" w:rsidRPr="009342AD">
        <w:rPr>
          <w:rFonts w:ascii="Arial" w:hAnsi="Arial" w:cs="Arial"/>
        </w:rPr>
        <w:t xml:space="preserve"> </w:t>
      </w:r>
      <w:r w:rsidR="003240CB" w:rsidRPr="009342AD">
        <w:rPr>
          <w:rFonts w:ascii="Arial" w:hAnsi="Arial" w:cs="Arial"/>
        </w:rPr>
        <w:t xml:space="preserve">the </w:t>
      </w:r>
      <w:r w:rsidR="0050026A" w:rsidRPr="009342AD">
        <w:rPr>
          <w:rFonts w:ascii="Arial" w:hAnsi="Arial" w:cs="Arial"/>
        </w:rPr>
        <w:t xml:space="preserve">ISO/TC 211 </w:t>
      </w:r>
      <w:r w:rsidR="003240CB" w:rsidRPr="009342AD">
        <w:rPr>
          <w:rFonts w:ascii="Arial" w:hAnsi="Arial" w:cs="Arial"/>
        </w:rPr>
        <w:t xml:space="preserve">plenary and meetings </w:t>
      </w:r>
      <w:r w:rsidR="0050026A" w:rsidRPr="009342AD">
        <w:rPr>
          <w:rFonts w:ascii="Arial" w:hAnsi="Arial" w:cs="Arial"/>
        </w:rPr>
        <w:t>2015-06-08/</w:t>
      </w:r>
      <w:r w:rsidR="0072406F" w:rsidRPr="009342AD">
        <w:rPr>
          <w:rFonts w:ascii="Arial" w:hAnsi="Arial" w:cs="Arial"/>
        </w:rPr>
        <w:t>12</w:t>
      </w:r>
      <w:r w:rsidR="0050026A" w:rsidRPr="009342AD">
        <w:rPr>
          <w:rFonts w:ascii="Arial" w:hAnsi="Arial" w:cs="Arial"/>
        </w:rPr>
        <w:t xml:space="preserve"> in Southampton, United Kingdom.</w:t>
      </w:r>
      <w:r w:rsidR="003240CB" w:rsidRPr="009342AD">
        <w:rPr>
          <w:rFonts w:ascii="Arial" w:hAnsi="Arial" w:cs="Arial"/>
        </w:rPr>
        <w:t xml:space="preserve">  INCITS L1/U.S. TAG </w:t>
      </w:r>
      <w:r w:rsidR="00A50563" w:rsidRPr="009342AD">
        <w:rPr>
          <w:rFonts w:ascii="Arial" w:hAnsi="Arial" w:cs="Arial"/>
        </w:rPr>
        <w:t>met</w:t>
      </w:r>
      <w:r w:rsidR="003240CB" w:rsidRPr="009342AD">
        <w:rPr>
          <w:rFonts w:ascii="Arial" w:hAnsi="Arial" w:cs="Arial"/>
        </w:rPr>
        <w:t xml:space="preserve"> June 17, 2015 to discuss outcomes of the ISO/TC 211 plenary and meetings.</w:t>
      </w:r>
      <w:bookmarkStart w:id="10" w:name="_Toc401329375"/>
      <w:bookmarkStart w:id="11" w:name="_Toc401329430"/>
    </w:p>
    <w:p w:rsidR="005A020E" w:rsidRDefault="005A020E" w:rsidP="00DC3F24"/>
    <w:p w:rsidR="00467B3A" w:rsidRPr="00467B3A" w:rsidRDefault="00467B3A" w:rsidP="00DC3F24">
      <w:pPr>
        <w:rPr>
          <w:rStyle w:val="IntenseEmphasis"/>
        </w:rPr>
      </w:pPr>
      <w:r w:rsidRPr="00467B3A">
        <w:rPr>
          <w:rStyle w:val="IntenseEmphasis"/>
        </w:rPr>
        <w:t>Contact</w:t>
      </w:r>
    </w:p>
    <w:p w:rsidR="00AA16D6" w:rsidRDefault="00DC3F24">
      <w:pPr>
        <w:rPr>
          <w:b/>
          <w:bCs/>
        </w:rPr>
      </w:pPr>
      <w:r>
        <w:t>Contact Julie Maitra, principal FGDC rep to L1, or your agency’s representative</w:t>
      </w:r>
      <w:r w:rsidR="002E791A">
        <w:t>(s)</w:t>
      </w:r>
      <w:r>
        <w:t xml:space="preserve"> to INCITS L1 for more information</w:t>
      </w:r>
      <w:r w:rsidRPr="00D71349">
        <w:t>.</w:t>
      </w:r>
      <w:bookmarkStart w:id="12" w:name="_Toc405549118"/>
      <w:bookmarkStart w:id="13" w:name="_Toc409709699"/>
    </w:p>
    <w:p w:rsidR="009021B1" w:rsidRDefault="00DC3F24" w:rsidP="00337D96">
      <w:pPr>
        <w:pStyle w:val="Heading2"/>
      </w:pPr>
      <w:bookmarkStart w:id="14" w:name="_Toc422750995"/>
      <w:r>
        <w:t>Open</w:t>
      </w:r>
      <w:r w:rsidR="009021B1">
        <w:t xml:space="preserve"> Geospatial Consortium</w:t>
      </w:r>
      <w:bookmarkEnd w:id="10"/>
      <w:bookmarkEnd w:id="11"/>
      <w:bookmarkEnd w:id="12"/>
      <w:bookmarkEnd w:id="13"/>
      <w:bookmarkEnd w:id="14"/>
    </w:p>
    <w:p w:rsidR="00552EEC" w:rsidRDefault="002B749B" w:rsidP="00552EEC">
      <w:pPr>
        <w:rPr>
          <w:rStyle w:val="IntenseEmphasis"/>
        </w:rPr>
      </w:pPr>
      <w:r>
        <w:rPr>
          <w:rStyle w:val="IntenseEmphasis"/>
        </w:rPr>
        <w:t>June 1-5, 2015 OGC TC/PC meeting</w:t>
      </w:r>
    </w:p>
    <w:p w:rsidR="003A7EF8" w:rsidRDefault="00C85A02" w:rsidP="00464169">
      <w:pPr>
        <w:rPr>
          <w:rStyle w:val="IntenseEmphasis"/>
          <w:b w:val="0"/>
          <w:i w:val="0"/>
          <w:color w:val="auto"/>
        </w:rPr>
      </w:pPr>
      <w:r>
        <w:rPr>
          <w:rStyle w:val="IntenseEmphasis"/>
          <w:b w:val="0"/>
          <w:i w:val="0"/>
          <w:color w:val="auto"/>
        </w:rPr>
        <w:t xml:space="preserve">The OGC TC/PC meeting </w:t>
      </w:r>
      <w:r w:rsidR="00A50563">
        <w:rPr>
          <w:rStyle w:val="IntenseEmphasis"/>
          <w:b w:val="0"/>
          <w:i w:val="0"/>
          <w:color w:val="auto"/>
        </w:rPr>
        <w:t>was held</w:t>
      </w:r>
      <w:r>
        <w:rPr>
          <w:rStyle w:val="IntenseEmphasis"/>
          <w:b w:val="0"/>
          <w:i w:val="0"/>
          <w:color w:val="auto"/>
        </w:rPr>
        <w:t xml:space="preserve"> </w:t>
      </w:r>
      <w:r w:rsidR="00464169" w:rsidRPr="00464169">
        <w:rPr>
          <w:rStyle w:val="IntenseEmphasis"/>
          <w:b w:val="0"/>
          <w:i w:val="0"/>
          <w:color w:val="auto"/>
        </w:rPr>
        <w:t xml:space="preserve">June </w:t>
      </w:r>
      <w:r w:rsidR="00464169">
        <w:rPr>
          <w:rStyle w:val="IntenseEmphasis"/>
          <w:b w:val="0"/>
          <w:i w:val="0"/>
          <w:color w:val="auto"/>
        </w:rPr>
        <w:t xml:space="preserve">1-5, </w:t>
      </w:r>
      <w:r w:rsidR="00464169" w:rsidRPr="00464169">
        <w:rPr>
          <w:rStyle w:val="IntenseEmphasis"/>
          <w:b w:val="0"/>
          <w:i w:val="0"/>
          <w:color w:val="auto"/>
        </w:rPr>
        <w:t>2015</w:t>
      </w:r>
      <w:r w:rsidR="00464169">
        <w:rPr>
          <w:rStyle w:val="IntenseEmphasis"/>
          <w:b w:val="0"/>
          <w:i w:val="0"/>
          <w:color w:val="auto"/>
        </w:rPr>
        <w:t xml:space="preserve"> in</w:t>
      </w:r>
      <w:r w:rsidR="00464169" w:rsidRPr="00464169">
        <w:rPr>
          <w:rStyle w:val="IntenseEmphasis"/>
          <w:b w:val="0"/>
          <w:i w:val="0"/>
          <w:color w:val="auto"/>
        </w:rPr>
        <w:t xml:space="preserve"> Boulder, Colorado #OGCBoulder15</w:t>
      </w:r>
      <w:r w:rsidR="002F1CB7">
        <w:rPr>
          <w:rStyle w:val="IntenseEmphasis"/>
          <w:b w:val="0"/>
          <w:i w:val="0"/>
          <w:color w:val="auto"/>
        </w:rPr>
        <w:t xml:space="preserve">.  </w:t>
      </w:r>
    </w:p>
    <w:p w:rsidR="00040B66" w:rsidRDefault="00040B66" w:rsidP="00464169">
      <w:pPr>
        <w:rPr>
          <w:rStyle w:val="IntenseEmphasis"/>
          <w:b w:val="0"/>
          <w:i w:val="0"/>
          <w:color w:val="auto"/>
        </w:rPr>
      </w:pPr>
    </w:p>
    <w:p w:rsidR="002F1CB7" w:rsidRDefault="00A50563" w:rsidP="00464169">
      <w:pPr>
        <w:rPr>
          <w:rStyle w:val="IntenseEmphasis"/>
          <w:b w:val="0"/>
          <w:i w:val="0"/>
          <w:color w:val="auto"/>
        </w:rPr>
      </w:pPr>
      <w:r w:rsidRPr="00A50563">
        <w:rPr>
          <w:rStyle w:val="IntenseEmphasis"/>
          <w:b w:val="0"/>
          <w:i w:val="0"/>
          <w:color w:val="auto"/>
        </w:rPr>
        <w:t>An ad hoc meeting was held to discuss OGC standardization activities around point cloud data.  Four presentations provided concrete proposals for OGC to consider.  There was broad participation from OGC members and affiliated or interested parties: approximately 60 people attended the meeting in person or via web conferencing.  The OGC membership agreed to charter a new Point Cloud Domain Working Group.</w:t>
      </w:r>
    </w:p>
    <w:p w:rsidR="00E542A9" w:rsidRDefault="00E542A9" w:rsidP="00464169">
      <w:pPr>
        <w:rPr>
          <w:rStyle w:val="IntenseEmphasis"/>
          <w:b w:val="0"/>
          <w:i w:val="0"/>
          <w:color w:val="auto"/>
        </w:rPr>
      </w:pPr>
    </w:p>
    <w:p w:rsidR="00E542A9" w:rsidRDefault="00E542A9" w:rsidP="00464169">
      <w:pPr>
        <w:rPr>
          <w:rStyle w:val="IntenseEmphasis"/>
          <w:b w:val="0"/>
          <w:i w:val="0"/>
          <w:color w:val="auto"/>
        </w:rPr>
      </w:pPr>
      <w:r w:rsidRPr="00E542A9">
        <w:rPr>
          <w:rStyle w:val="IntenseEmphasis"/>
          <w:b w:val="0"/>
          <w:i w:val="0"/>
          <w:color w:val="auto"/>
        </w:rPr>
        <w:t>The ISO TC/211-OGC J</w:t>
      </w:r>
      <w:r>
        <w:rPr>
          <w:rStyle w:val="IntenseEmphasis"/>
          <w:b w:val="0"/>
          <w:i w:val="0"/>
          <w:color w:val="auto"/>
        </w:rPr>
        <w:t>oint Advisory Group</w:t>
      </w:r>
      <w:r w:rsidRPr="00E542A9">
        <w:rPr>
          <w:rStyle w:val="IntenseEmphasis"/>
          <w:b w:val="0"/>
          <w:i w:val="0"/>
          <w:color w:val="auto"/>
        </w:rPr>
        <w:t xml:space="preserve"> </w:t>
      </w:r>
      <w:r>
        <w:rPr>
          <w:rStyle w:val="IntenseEmphasis"/>
          <w:b w:val="0"/>
          <w:i w:val="0"/>
          <w:color w:val="auto"/>
        </w:rPr>
        <w:t>recommended</w:t>
      </w:r>
      <w:r w:rsidRPr="00E542A9">
        <w:rPr>
          <w:rStyle w:val="IntenseEmphasis"/>
          <w:b w:val="0"/>
          <w:i w:val="0"/>
          <w:color w:val="auto"/>
        </w:rPr>
        <w:t xml:space="preserve"> that OGC</w:t>
      </w:r>
      <w:r>
        <w:rPr>
          <w:rStyle w:val="IntenseEmphasis"/>
          <w:b w:val="0"/>
          <w:i w:val="0"/>
          <w:color w:val="auto"/>
        </w:rPr>
        <w:t>,</w:t>
      </w:r>
      <w:r w:rsidRPr="00E542A9">
        <w:rPr>
          <w:rStyle w:val="IntenseEmphasis"/>
          <w:b w:val="0"/>
          <w:i w:val="0"/>
          <w:color w:val="auto"/>
        </w:rPr>
        <w:t xml:space="preserve"> TC211</w:t>
      </w:r>
      <w:r>
        <w:rPr>
          <w:rStyle w:val="IntenseEmphasis"/>
          <w:b w:val="0"/>
          <w:i w:val="0"/>
          <w:color w:val="auto"/>
        </w:rPr>
        <w:t xml:space="preserve">, </w:t>
      </w:r>
      <w:r w:rsidRPr="00E542A9">
        <w:rPr>
          <w:rStyle w:val="IntenseEmphasis"/>
          <w:b w:val="0"/>
          <w:i w:val="0"/>
          <w:color w:val="auto"/>
        </w:rPr>
        <w:t>INSPIRE, DGIWG and IHO prepare a liaison paper to JTC1 SC29</w:t>
      </w:r>
      <w:r>
        <w:rPr>
          <w:rStyle w:val="IntenseEmphasis"/>
          <w:b w:val="0"/>
          <w:i w:val="0"/>
          <w:color w:val="auto"/>
        </w:rPr>
        <w:t xml:space="preserve">, </w:t>
      </w:r>
      <w:r w:rsidRPr="00E542A9">
        <w:rPr>
          <w:rStyle w:val="IntenseEmphasis"/>
          <w:b w:val="0"/>
          <w:i w:val="0"/>
          <w:color w:val="auto"/>
        </w:rPr>
        <w:t>Coding of audio, picture, multimedia and hypermedia information</w:t>
      </w:r>
      <w:r w:rsidR="00F16A85">
        <w:rPr>
          <w:rStyle w:val="IntenseEmphasis"/>
          <w:b w:val="0"/>
          <w:i w:val="0"/>
          <w:color w:val="auto"/>
        </w:rPr>
        <w:t>,</w:t>
      </w:r>
      <w:r w:rsidRPr="00E542A9">
        <w:rPr>
          <w:rStyle w:val="IntenseEmphasis"/>
          <w:b w:val="0"/>
          <w:i w:val="0"/>
          <w:color w:val="auto"/>
        </w:rPr>
        <w:t xml:space="preserve"> </w:t>
      </w:r>
      <w:r>
        <w:rPr>
          <w:rStyle w:val="IntenseEmphasis"/>
          <w:b w:val="0"/>
          <w:i w:val="0"/>
          <w:color w:val="auto"/>
        </w:rPr>
        <w:t>that describes</w:t>
      </w:r>
      <w:r w:rsidRPr="00E542A9">
        <w:rPr>
          <w:rStyle w:val="IntenseEmphasis"/>
          <w:b w:val="0"/>
          <w:i w:val="0"/>
          <w:color w:val="auto"/>
        </w:rPr>
        <w:t xml:space="preserve"> use of the ISO standard JPEG 2000 for geospatial purposes. This liaison statement will be delivered in late November 2015.</w:t>
      </w:r>
    </w:p>
    <w:p w:rsidR="00A50563" w:rsidRDefault="00A50563" w:rsidP="00464169">
      <w:pPr>
        <w:rPr>
          <w:rStyle w:val="IntenseEmphasis"/>
          <w:b w:val="0"/>
          <w:i w:val="0"/>
          <w:color w:val="auto"/>
        </w:rPr>
      </w:pPr>
    </w:p>
    <w:p w:rsidR="005353D1" w:rsidRDefault="005353D1" w:rsidP="005353D1">
      <w:pPr>
        <w:rPr>
          <w:rStyle w:val="IntenseEmphasis"/>
          <w:b w:val="0"/>
          <w:i w:val="0"/>
          <w:color w:val="auto"/>
        </w:rPr>
      </w:pPr>
      <w:r>
        <w:rPr>
          <w:rStyle w:val="IntenseEmphasis"/>
          <w:b w:val="0"/>
          <w:i w:val="0"/>
          <w:color w:val="auto"/>
        </w:rPr>
        <w:t xml:space="preserve">The OGC North American Forum is planning to organize a </w:t>
      </w:r>
      <w:r w:rsidRPr="005353D1">
        <w:rPr>
          <w:rStyle w:val="IntenseEmphasis"/>
          <w:b w:val="0"/>
          <w:i w:val="0"/>
          <w:color w:val="auto"/>
        </w:rPr>
        <w:t>NAF Capacity Building Seminar and Exposition in DC area (around OGC TC/PC) in March 2016</w:t>
      </w:r>
      <w:r>
        <w:rPr>
          <w:rStyle w:val="IntenseEmphasis"/>
          <w:b w:val="0"/>
          <w:i w:val="0"/>
          <w:color w:val="auto"/>
        </w:rPr>
        <w:t xml:space="preserve"> and a Testbed</w:t>
      </w:r>
      <w:r w:rsidRPr="005353D1">
        <w:rPr>
          <w:rStyle w:val="IntenseEmphasis"/>
          <w:b w:val="0"/>
          <w:i w:val="0"/>
          <w:color w:val="auto"/>
        </w:rPr>
        <w:t xml:space="preserve"> 11 Demo</w:t>
      </w:r>
      <w:r>
        <w:rPr>
          <w:rStyle w:val="IntenseEmphasis"/>
          <w:b w:val="0"/>
          <w:i w:val="0"/>
          <w:color w:val="auto"/>
        </w:rPr>
        <w:t xml:space="preserve">.  Also under </w:t>
      </w:r>
      <w:r>
        <w:rPr>
          <w:rStyle w:val="IntenseEmphasis"/>
          <w:b w:val="0"/>
          <w:i w:val="0"/>
          <w:color w:val="auto"/>
        </w:rPr>
        <w:lastRenderedPageBreak/>
        <w:t>discussion is a CA-US-MX</w:t>
      </w:r>
      <w:r w:rsidRPr="005353D1">
        <w:rPr>
          <w:rStyle w:val="IntenseEmphasis"/>
          <w:b w:val="0"/>
          <w:i w:val="0"/>
          <w:color w:val="auto"/>
        </w:rPr>
        <w:t xml:space="preserve"> Road Networks (Transportation) pilot project (interoperability and data model).</w:t>
      </w:r>
    </w:p>
    <w:p w:rsidR="005353D1" w:rsidRDefault="005353D1" w:rsidP="00464169">
      <w:pPr>
        <w:rPr>
          <w:rStyle w:val="IntenseEmphasis"/>
          <w:b w:val="0"/>
          <w:i w:val="0"/>
          <w:color w:val="auto"/>
        </w:rPr>
      </w:pPr>
    </w:p>
    <w:p w:rsidR="002B749B" w:rsidRPr="002B749B" w:rsidRDefault="002B749B" w:rsidP="002B749B">
      <w:pPr>
        <w:rPr>
          <w:rStyle w:val="IntenseEmphasis"/>
        </w:rPr>
      </w:pPr>
      <w:r w:rsidRPr="002B749B">
        <w:rPr>
          <w:rStyle w:val="IntenseEmphasis"/>
        </w:rPr>
        <w:t>September 14-18, 2015 OGC TC/PC meeting</w:t>
      </w:r>
    </w:p>
    <w:p w:rsidR="002B749B" w:rsidRPr="002B749B" w:rsidRDefault="002B749B" w:rsidP="002B749B">
      <w:pPr>
        <w:rPr>
          <w:rStyle w:val="IntenseEmphasis"/>
          <w:b w:val="0"/>
          <w:i w:val="0"/>
          <w:color w:val="auto"/>
        </w:rPr>
      </w:pPr>
      <w:r>
        <w:rPr>
          <w:rStyle w:val="IntenseEmphasis"/>
          <w:b w:val="0"/>
          <w:i w:val="0"/>
          <w:color w:val="auto"/>
        </w:rPr>
        <w:t xml:space="preserve">The next </w:t>
      </w:r>
      <w:r w:rsidRPr="002B749B">
        <w:rPr>
          <w:rStyle w:val="IntenseEmphasis"/>
          <w:b w:val="0"/>
          <w:i w:val="0"/>
          <w:color w:val="auto"/>
        </w:rPr>
        <w:t xml:space="preserve">OGC TC/PC meeting </w:t>
      </w:r>
      <w:r>
        <w:rPr>
          <w:rStyle w:val="IntenseEmphasis"/>
          <w:b w:val="0"/>
          <w:i w:val="0"/>
          <w:color w:val="auto"/>
        </w:rPr>
        <w:t xml:space="preserve">will be held </w:t>
      </w:r>
      <w:r w:rsidRPr="002B749B">
        <w:rPr>
          <w:rStyle w:val="IntenseEmphasis"/>
          <w:b w:val="0"/>
          <w:i w:val="0"/>
          <w:color w:val="auto"/>
        </w:rPr>
        <w:t>September 14-18, 2015</w:t>
      </w:r>
      <w:r>
        <w:rPr>
          <w:rStyle w:val="IntenseEmphasis"/>
          <w:b w:val="0"/>
          <w:i w:val="0"/>
          <w:color w:val="auto"/>
        </w:rPr>
        <w:t xml:space="preserve"> in </w:t>
      </w:r>
      <w:r w:rsidRPr="002B749B">
        <w:rPr>
          <w:rStyle w:val="IntenseEmphasis"/>
          <w:b w:val="0"/>
          <w:i w:val="0"/>
          <w:color w:val="auto"/>
        </w:rPr>
        <w:t>Nottingham, UK</w:t>
      </w:r>
      <w:r>
        <w:rPr>
          <w:rStyle w:val="IntenseEmphasis"/>
          <w:b w:val="0"/>
          <w:i w:val="0"/>
          <w:color w:val="auto"/>
        </w:rPr>
        <w:t xml:space="preserve">. </w:t>
      </w:r>
    </w:p>
    <w:p w:rsidR="002B749B" w:rsidRDefault="002B749B" w:rsidP="002B749B">
      <w:pPr>
        <w:rPr>
          <w:rStyle w:val="IntenseEmphasis"/>
          <w:b w:val="0"/>
          <w:i w:val="0"/>
          <w:color w:val="auto"/>
        </w:rPr>
      </w:pPr>
      <w:r w:rsidRPr="002B749B">
        <w:rPr>
          <w:rStyle w:val="IntenseEmphasis"/>
          <w:b w:val="0"/>
          <w:i w:val="0"/>
          <w:color w:val="auto"/>
        </w:rPr>
        <w:t xml:space="preserve"> #OGCNottingham15</w:t>
      </w:r>
    </w:p>
    <w:p w:rsidR="002B749B" w:rsidRDefault="002B749B" w:rsidP="00464169">
      <w:pPr>
        <w:rPr>
          <w:rStyle w:val="IntenseEmphasis"/>
          <w:b w:val="0"/>
          <w:i w:val="0"/>
          <w:color w:val="auto"/>
        </w:rPr>
      </w:pPr>
    </w:p>
    <w:p w:rsidR="00494F26" w:rsidRDefault="00494F26" w:rsidP="00494F26">
      <w:pPr>
        <w:rPr>
          <w:rStyle w:val="IntenseEmphasis"/>
        </w:rPr>
      </w:pPr>
      <w:r>
        <w:rPr>
          <w:rStyle w:val="IntenseEmphasis"/>
        </w:rPr>
        <w:t>OGC compliance tests</w:t>
      </w:r>
    </w:p>
    <w:p w:rsidR="00F16A85" w:rsidRPr="003A0E78" w:rsidRDefault="00F16A85" w:rsidP="00F16A85">
      <w:r w:rsidRPr="003A0E78">
        <w:t>OGC now provides a WMS 1.3 Client Test that client developers can use to confirm that their clients correctly implement the OGC Web Map Service 1.3 Interface Standard.</w:t>
      </w:r>
    </w:p>
    <w:p w:rsidR="00DB1DFC" w:rsidRPr="006D7245" w:rsidRDefault="00DB1DFC" w:rsidP="00494F26">
      <w:pPr>
        <w:rPr>
          <w:rStyle w:val="IntenseEmphasis"/>
        </w:rPr>
      </w:pPr>
    </w:p>
    <w:tbl>
      <w:tblPr>
        <w:tblStyle w:val="TableGrid"/>
        <w:tblW w:w="0" w:type="auto"/>
        <w:jc w:val="center"/>
        <w:tblLook w:val="04A0" w:firstRow="1" w:lastRow="0" w:firstColumn="1" w:lastColumn="0" w:noHBand="0" w:noVBand="1"/>
      </w:tblPr>
      <w:tblGrid>
        <w:gridCol w:w="1972"/>
        <w:gridCol w:w="950"/>
      </w:tblGrid>
      <w:tr w:rsidR="00F16A85" w:rsidRPr="000C722C" w:rsidTr="00F16A85">
        <w:trPr>
          <w:jc w:val="center"/>
        </w:trPr>
        <w:tc>
          <w:tcPr>
            <w:tcW w:w="0" w:type="auto"/>
          </w:tcPr>
          <w:p w:rsidR="00F16A85" w:rsidRPr="000C722C" w:rsidRDefault="00F16A85" w:rsidP="00614E26">
            <w:pPr>
              <w:rPr>
                <w:rFonts w:cs="Arial"/>
                <w:b/>
                <w:sz w:val="20"/>
                <w:szCs w:val="20"/>
              </w:rPr>
            </w:pPr>
            <w:r w:rsidRPr="000C722C">
              <w:rPr>
                <w:rFonts w:cs="Arial"/>
                <w:b/>
                <w:sz w:val="20"/>
                <w:szCs w:val="20"/>
              </w:rPr>
              <w:t>OGC Test Suites</w:t>
            </w:r>
          </w:p>
        </w:tc>
        <w:tc>
          <w:tcPr>
            <w:tcW w:w="0" w:type="auto"/>
          </w:tcPr>
          <w:p w:rsidR="00F16A85" w:rsidRPr="000C722C" w:rsidRDefault="00F16A85" w:rsidP="00614E26">
            <w:pPr>
              <w:rPr>
                <w:rFonts w:cs="Arial"/>
                <w:b/>
                <w:sz w:val="20"/>
                <w:szCs w:val="20"/>
              </w:rPr>
            </w:pPr>
            <w:r w:rsidRPr="000C722C">
              <w:rPr>
                <w:rFonts w:cs="Arial"/>
                <w:b/>
                <w:sz w:val="20"/>
                <w:szCs w:val="20"/>
              </w:rPr>
              <w:t>Version</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CSW</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2.0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GML</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3.2.1</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KML</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2.2</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SOS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SOS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2.0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SPS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SPS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2.0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SFS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1.1</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SFS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1.2.1</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WCS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1.0.0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WCS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1.1.1</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WCS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2.0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WFS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1.0.0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WCS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2.0.1</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WFS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1.1.0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WFS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2.0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WMS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1.1.1</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WMS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1.3.0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WMS-Client</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1.3</w:t>
            </w:r>
          </w:p>
        </w:tc>
      </w:tr>
      <w:tr w:rsidR="00F16A85" w:rsidRPr="000C722C" w:rsidTr="00F16A85">
        <w:trPr>
          <w:jc w:val="center"/>
        </w:trPr>
        <w:tc>
          <w:tcPr>
            <w:tcW w:w="0" w:type="auto"/>
          </w:tcPr>
          <w:p w:rsidR="00F16A85" w:rsidRPr="000C722C" w:rsidRDefault="00F16A85" w:rsidP="00614E26">
            <w:pPr>
              <w:rPr>
                <w:rFonts w:cs="Arial"/>
                <w:b/>
                <w:sz w:val="20"/>
                <w:szCs w:val="20"/>
              </w:rPr>
            </w:pPr>
            <w:r w:rsidRPr="000C722C">
              <w:rPr>
                <w:rFonts w:cs="Arial"/>
                <w:b/>
                <w:sz w:val="20"/>
                <w:szCs w:val="20"/>
              </w:rPr>
              <w:t>OGC Tests in Beta</w:t>
            </w:r>
          </w:p>
        </w:tc>
        <w:tc>
          <w:tcPr>
            <w:tcW w:w="0" w:type="auto"/>
          </w:tcPr>
          <w:p w:rsidR="00F16A85" w:rsidRPr="000C722C" w:rsidRDefault="00F16A85" w:rsidP="00614E26">
            <w:pPr>
              <w:rPr>
                <w:rFonts w:cs="Arial"/>
                <w:sz w:val="20"/>
                <w:szCs w:val="20"/>
              </w:rPr>
            </w:pP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OWC</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1.0</w:t>
            </w:r>
          </w:p>
        </w:tc>
      </w:tr>
      <w:tr w:rsidR="00F16A85" w:rsidRPr="000C722C" w:rsidTr="00F16A85">
        <w:trPr>
          <w:jc w:val="center"/>
        </w:trPr>
        <w:tc>
          <w:tcPr>
            <w:tcW w:w="0" w:type="auto"/>
          </w:tcPr>
          <w:p w:rsidR="00F16A85" w:rsidRPr="000C722C" w:rsidRDefault="00F16A85" w:rsidP="00614E26">
            <w:pPr>
              <w:rPr>
                <w:rFonts w:cs="Arial"/>
                <w:sz w:val="20"/>
                <w:szCs w:val="20"/>
              </w:rPr>
            </w:pPr>
            <w:proofErr w:type="spellStart"/>
            <w:r w:rsidRPr="000C722C">
              <w:rPr>
                <w:rFonts w:cs="Arial"/>
                <w:sz w:val="20"/>
                <w:szCs w:val="20"/>
              </w:rPr>
              <w:t>SensorML</w:t>
            </w:r>
            <w:proofErr w:type="spellEnd"/>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1.0.1</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WPS</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1.0.0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WMS-SLD</w:t>
            </w:r>
          </w:p>
        </w:tc>
        <w:tc>
          <w:tcPr>
            <w:tcW w:w="0" w:type="auto"/>
            <w:vAlign w:val="center"/>
          </w:tcPr>
          <w:p w:rsidR="00F16A85" w:rsidRPr="000C722C" w:rsidRDefault="00F16A85" w:rsidP="00614E26">
            <w:pPr>
              <w:jc w:val="right"/>
              <w:rPr>
                <w:rFonts w:cs="Arial"/>
                <w:sz w:val="20"/>
                <w:szCs w:val="20"/>
              </w:rPr>
            </w:pPr>
            <w:r w:rsidRPr="000C722C">
              <w:rPr>
                <w:rFonts w:cs="Arial"/>
                <w:sz w:val="20"/>
                <w:szCs w:val="20"/>
              </w:rPr>
              <w:t>1.1.0</w:t>
            </w:r>
          </w:p>
        </w:tc>
      </w:tr>
      <w:tr w:rsidR="00F16A85" w:rsidRPr="000C722C" w:rsidTr="00F16A85">
        <w:trPr>
          <w:jc w:val="center"/>
        </w:trPr>
        <w:tc>
          <w:tcPr>
            <w:tcW w:w="0" w:type="auto"/>
          </w:tcPr>
          <w:p w:rsidR="00F16A85" w:rsidRPr="000C722C" w:rsidRDefault="00F16A85" w:rsidP="00614E26">
            <w:pPr>
              <w:rPr>
                <w:rFonts w:cs="Arial"/>
                <w:sz w:val="20"/>
                <w:szCs w:val="20"/>
              </w:rPr>
            </w:pPr>
            <w:r w:rsidRPr="000C722C">
              <w:rPr>
                <w:rFonts w:cs="Arial"/>
                <w:sz w:val="20"/>
                <w:szCs w:val="20"/>
              </w:rPr>
              <w:t>WMTS</w:t>
            </w:r>
          </w:p>
        </w:tc>
        <w:tc>
          <w:tcPr>
            <w:tcW w:w="0" w:type="auto"/>
            <w:vAlign w:val="center"/>
          </w:tcPr>
          <w:p w:rsidR="00F16A85" w:rsidRPr="000C722C" w:rsidRDefault="00F16A85" w:rsidP="00F16A85">
            <w:pPr>
              <w:keepNext/>
              <w:jc w:val="right"/>
              <w:rPr>
                <w:rFonts w:cs="Arial"/>
                <w:sz w:val="20"/>
                <w:szCs w:val="20"/>
              </w:rPr>
            </w:pPr>
            <w:r w:rsidRPr="000C722C">
              <w:rPr>
                <w:rFonts w:cs="Arial"/>
                <w:sz w:val="20"/>
                <w:szCs w:val="20"/>
              </w:rPr>
              <w:t>1.0.0</w:t>
            </w:r>
          </w:p>
        </w:tc>
      </w:tr>
    </w:tbl>
    <w:p w:rsidR="00494F26" w:rsidRPr="00690CEB" w:rsidRDefault="00F16A85" w:rsidP="00F16A85">
      <w:pPr>
        <w:pStyle w:val="Caption"/>
        <w:jc w:val="center"/>
        <w:rPr>
          <w:rStyle w:val="IntenseEmphasis"/>
          <w:b/>
          <w:i w:val="0"/>
          <w:color w:val="000000" w:themeColor="text1"/>
        </w:rPr>
      </w:pPr>
      <w:r>
        <w:t xml:space="preserve">Table </w:t>
      </w:r>
      <w:fldSimple w:instr=" SEQ Table \* ARABIC ">
        <w:r>
          <w:rPr>
            <w:noProof/>
          </w:rPr>
          <w:t>1</w:t>
        </w:r>
      </w:fldSimple>
      <w:r>
        <w:t xml:space="preserve"> - OGC compliance tests</w:t>
      </w:r>
      <w:bookmarkStart w:id="15" w:name="_GoBack"/>
      <w:bookmarkEnd w:id="15"/>
    </w:p>
    <w:p w:rsidR="003475CB" w:rsidRDefault="004D69EE" w:rsidP="00A86853">
      <w:pPr>
        <w:pStyle w:val="Heading2"/>
      </w:pPr>
      <w:bookmarkStart w:id="16" w:name="_Toc401329376"/>
      <w:bookmarkStart w:id="17" w:name="_Toc401329431"/>
      <w:bookmarkStart w:id="18" w:name="_Toc405549119"/>
      <w:bookmarkStart w:id="19" w:name="_Toc409709700"/>
      <w:bookmarkStart w:id="20" w:name="_Toc422750996"/>
      <w:r>
        <w:t>Geospatial-Intelligence Standards WG</w:t>
      </w:r>
      <w:r w:rsidR="00206E38">
        <w:t xml:space="preserve"> (GWG)</w:t>
      </w:r>
      <w:bookmarkEnd w:id="16"/>
      <w:bookmarkEnd w:id="17"/>
      <w:bookmarkEnd w:id="18"/>
      <w:bookmarkEnd w:id="19"/>
      <w:bookmarkEnd w:id="20"/>
    </w:p>
    <w:p w:rsidR="003A7EF8" w:rsidRDefault="00C9689B" w:rsidP="00C9689B">
      <w:r w:rsidRPr="00C9689B">
        <w:t xml:space="preserve">The 15-1 GWG voting meeting </w:t>
      </w:r>
      <w:r w:rsidR="002B749B">
        <w:t>met</w:t>
      </w:r>
      <w:r w:rsidRPr="00C9689B">
        <w:t xml:space="preserve"> June 18, 2015</w:t>
      </w:r>
      <w:r w:rsidR="003A7EF8">
        <w:t xml:space="preserve"> at </w:t>
      </w:r>
      <w:proofErr w:type="spellStart"/>
      <w:r w:rsidR="003A7EF8">
        <w:t>Scitor</w:t>
      </w:r>
      <w:proofErr w:type="spellEnd"/>
      <w:r w:rsidR="003A7EF8">
        <w:t xml:space="preserve"> in Reston, Virginia</w:t>
      </w:r>
      <w:r w:rsidRPr="00C9689B">
        <w:t>.</w:t>
      </w:r>
      <w:r w:rsidR="003A7EF8">
        <w:t xml:space="preserve">  Standards of interest:</w:t>
      </w:r>
    </w:p>
    <w:p w:rsidR="003A7EF8" w:rsidRDefault="003A7EF8" w:rsidP="00C9689B"/>
    <w:p w:rsidR="000050CB" w:rsidRDefault="000050CB" w:rsidP="000050CB">
      <w:pPr>
        <w:pStyle w:val="ListParagraph"/>
        <w:numPr>
          <w:ilvl w:val="0"/>
          <w:numId w:val="4"/>
        </w:numPr>
      </w:pPr>
      <w:r>
        <w:t>ISO 8601:2004, Data elements and interchange formats -- Information interchange -- Representation of dates and times</w:t>
      </w:r>
    </w:p>
    <w:p w:rsidR="000050CB" w:rsidRDefault="000050CB" w:rsidP="000050CB">
      <w:pPr>
        <w:pStyle w:val="ListParagraph"/>
        <w:numPr>
          <w:ilvl w:val="0"/>
          <w:numId w:val="4"/>
        </w:numPr>
      </w:pPr>
      <w:r>
        <w:t>ISO 19107:2003, Geographic information - Spatial schema, 08 May 2003</w:t>
      </w:r>
      <w:r>
        <w:tab/>
      </w:r>
    </w:p>
    <w:p w:rsidR="000050CB" w:rsidRDefault="000050CB" w:rsidP="000050CB">
      <w:pPr>
        <w:pStyle w:val="ListParagraph"/>
        <w:numPr>
          <w:ilvl w:val="0"/>
          <w:numId w:val="4"/>
        </w:numPr>
      </w:pPr>
      <w:r>
        <w:t xml:space="preserve">ISO 19108:2002 w/ </w:t>
      </w:r>
      <w:proofErr w:type="spellStart"/>
      <w:r>
        <w:t>Cor</w:t>
      </w:r>
      <w:proofErr w:type="spellEnd"/>
      <w:r>
        <w:t xml:space="preserve"> 1:2006,   Geographic information - Temporal schema, 12 September 2002, with Technical Corrigendum 1, 16 October 2006</w:t>
      </w:r>
    </w:p>
    <w:p w:rsidR="000050CB" w:rsidRDefault="000050CB" w:rsidP="000050CB">
      <w:pPr>
        <w:pStyle w:val="ListParagraph"/>
        <w:numPr>
          <w:ilvl w:val="0"/>
          <w:numId w:val="4"/>
        </w:numPr>
      </w:pPr>
      <w:r>
        <w:t>ISO 19110:2005 w/</w:t>
      </w:r>
      <w:proofErr w:type="spellStart"/>
      <w:r>
        <w:t>Amd</w:t>
      </w:r>
      <w:proofErr w:type="spellEnd"/>
      <w:r>
        <w:t xml:space="preserve"> 1:2011    Geographic information - Methodology for feature cataloguing, 11 February 2005, w/</w:t>
      </w:r>
      <w:proofErr w:type="spellStart"/>
      <w:r>
        <w:t>Amd</w:t>
      </w:r>
      <w:proofErr w:type="spellEnd"/>
      <w:r>
        <w:t xml:space="preserve"> 1, 17 June 2011</w:t>
      </w:r>
    </w:p>
    <w:p w:rsidR="000050CB" w:rsidRDefault="000050CB" w:rsidP="000050CB">
      <w:pPr>
        <w:pStyle w:val="ListParagraph"/>
        <w:numPr>
          <w:ilvl w:val="0"/>
          <w:numId w:val="4"/>
        </w:numPr>
      </w:pPr>
      <w:r>
        <w:t>ISO 19111:2007, Geographic information -- Spatial referencing by coordinates, 26 June 2007</w:t>
      </w:r>
    </w:p>
    <w:p w:rsidR="000050CB" w:rsidRDefault="000050CB" w:rsidP="000050CB">
      <w:pPr>
        <w:pStyle w:val="ListParagraph"/>
        <w:numPr>
          <w:ilvl w:val="0"/>
          <w:numId w:val="4"/>
        </w:numPr>
      </w:pPr>
      <w:r>
        <w:lastRenderedPageBreak/>
        <w:t>ISO 3166-1:2013, Codes for the representation of names of countries and their subdivisions, Part 1: Country codes, 19 November 2013</w:t>
      </w:r>
    </w:p>
    <w:p w:rsidR="000050CB" w:rsidRDefault="000050CB" w:rsidP="000050CB">
      <w:pPr>
        <w:pStyle w:val="ListParagraph"/>
        <w:numPr>
          <w:ilvl w:val="0"/>
          <w:numId w:val="4"/>
        </w:numPr>
      </w:pPr>
      <w:r>
        <w:t>ISO 3166-2:2013, Codes for the representation of names of countries and their subdivisions, Part 2: Country subdivision code, 19 November 2013</w:t>
      </w:r>
    </w:p>
    <w:p w:rsidR="000050CB" w:rsidRDefault="000050CB" w:rsidP="000050CB">
      <w:pPr>
        <w:pStyle w:val="ListParagraph"/>
        <w:numPr>
          <w:ilvl w:val="0"/>
          <w:numId w:val="4"/>
        </w:numPr>
      </w:pPr>
      <w:r>
        <w:t xml:space="preserve">ISO 19119:2005 w/ </w:t>
      </w:r>
      <w:proofErr w:type="spellStart"/>
      <w:r>
        <w:t>Amd</w:t>
      </w:r>
      <w:proofErr w:type="spellEnd"/>
      <w:r>
        <w:t xml:space="preserve"> 1:2008,Geographic information - Services, Extensions of the service metadata model, Extensions of the service metadata model:2005, w/</w:t>
      </w:r>
      <w:proofErr w:type="spellStart"/>
      <w:r>
        <w:t>Amd</w:t>
      </w:r>
      <w:proofErr w:type="spellEnd"/>
      <w:r>
        <w:t xml:space="preserve"> 1:2008</w:t>
      </w:r>
    </w:p>
    <w:p w:rsidR="00C9689B" w:rsidRDefault="000050CB" w:rsidP="000050CB">
      <w:pPr>
        <w:pStyle w:val="ListParagraph"/>
        <w:numPr>
          <w:ilvl w:val="0"/>
          <w:numId w:val="4"/>
        </w:numPr>
      </w:pPr>
      <w:r>
        <w:t xml:space="preserve">OGC CAT 2.0.2 - ISO Metadata,   </w:t>
      </w:r>
      <w:proofErr w:type="spellStart"/>
      <w:r>
        <w:t>OpenGIS</w:t>
      </w:r>
      <w:proofErr w:type="spellEnd"/>
      <w:r>
        <w:t xml:space="preserve"> Catalogue Services Specification 2.0.2 - ISO Metadata Application Profile 1.0, 2007-07-19</w:t>
      </w:r>
    </w:p>
    <w:p w:rsidR="00467B3A" w:rsidRDefault="00467B3A" w:rsidP="00AB047A"/>
    <w:p w:rsidR="00467B3A" w:rsidRPr="00467B3A" w:rsidRDefault="00467B3A" w:rsidP="00AB047A">
      <w:pPr>
        <w:rPr>
          <w:rStyle w:val="IntenseEmphasis"/>
        </w:rPr>
      </w:pPr>
      <w:r w:rsidRPr="00467B3A">
        <w:rPr>
          <w:rStyle w:val="IntenseEmphasis"/>
        </w:rPr>
        <w:t>Contact</w:t>
      </w:r>
    </w:p>
    <w:p w:rsidR="00FD1FE0" w:rsidRDefault="00467B3A">
      <w:pPr>
        <w:rPr>
          <w:rFonts w:cs="Arial"/>
        </w:rPr>
      </w:pPr>
      <w:r w:rsidRPr="00467B3A">
        <w:rPr>
          <w:rFonts w:cs="Arial"/>
        </w:rPr>
        <w:t>For more information, contact Julie Maitra, FGDC representative to GWG, or your agency’s representative to GWG.</w:t>
      </w:r>
    </w:p>
    <w:p w:rsidR="00FD1FE0" w:rsidRPr="00FD1FE0" w:rsidRDefault="00AF1AE5" w:rsidP="00FD1FE0">
      <w:pPr>
        <w:pStyle w:val="Heading2"/>
      </w:pPr>
      <w:bookmarkStart w:id="21" w:name="_Toc422750997"/>
      <w:r>
        <w:t>Other</w:t>
      </w:r>
      <w:bookmarkEnd w:id="21"/>
    </w:p>
    <w:p w:rsidR="00AA16D6" w:rsidRDefault="00552EEC" w:rsidP="00467B3A">
      <w:pPr>
        <w:pStyle w:val="ListParagraph"/>
        <w:numPr>
          <w:ilvl w:val="0"/>
          <w:numId w:val="3"/>
        </w:numPr>
      </w:pPr>
      <w:r w:rsidRPr="00552EEC">
        <w:t>Please refer to the standards tracking log</w:t>
      </w:r>
      <w:r w:rsidR="009F75E4">
        <w:t xml:space="preserve">, </w:t>
      </w:r>
      <w:hyperlink r:id="rId12" w:history="1">
        <w:r w:rsidR="009F75E4" w:rsidRPr="00F32D4B">
          <w:rPr>
            <w:rStyle w:val="Hyperlink"/>
          </w:rPr>
          <w:t>http://www.fgdc.gov/standards/monthlyStandardsUpdate/index</w:t>
        </w:r>
      </w:hyperlink>
      <w:r w:rsidR="009F75E4">
        <w:t xml:space="preserve">, </w:t>
      </w:r>
      <w:r w:rsidRPr="00552EEC">
        <w:t xml:space="preserve">for progress on </w:t>
      </w:r>
      <w:r>
        <w:t>FGDC, INCITS, ISO, OGC, and GWG standards</w:t>
      </w:r>
      <w:r w:rsidRPr="00552EEC">
        <w:t>.</w:t>
      </w:r>
      <w:r w:rsidR="00963473">
        <w:t xml:space="preserve">  </w:t>
      </w:r>
    </w:p>
    <w:sectPr w:rsidR="00AA16D6" w:rsidSect="007033B5">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CAF" w:rsidRDefault="003D6CAF" w:rsidP="00BE5E27">
      <w:r>
        <w:separator/>
      </w:r>
    </w:p>
  </w:endnote>
  <w:endnote w:type="continuationSeparator" w:id="0">
    <w:p w:rsidR="003D6CAF" w:rsidRDefault="003D6CAF" w:rsidP="00BE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76C" w:rsidRDefault="00D8376C" w:rsidP="00174D79">
    <w:pPr>
      <w:pStyle w:val="Footer"/>
      <w:tabs>
        <w:tab w:val="clear" w:pos="4680"/>
        <w:tab w:val="clear" w:pos="9360"/>
        <w:tab w:val="center" w:pos="5490"/>
        <w:tab w:val="right" w:pos="10800"/>
      </w:tabs>
      <w:ind w:right="360"/>
      <w:rPr>
        <w:sz w:val="20"/>
        <w:szCs w:val="20"/>
      </w:rPr>
    </w:pPr>
  </w:p>
  <w:p w:rsidR="00AC4B62" w:rsidRPr="00D8376C" w:rsidRDefault="004A79B5" w:rsidP="00174D79">
    <w:pPr>
      <w:pStyle w:val="Footer"/>
      <w:tabs>
        <w:tab w:val="clear" w:pos="4680"/>
        <w:tab w:val="clear" w:pos="9360"/>
        <w:tab w:val="center" w:pos="5490"/>
        <w:tab w:val="right" w:pos="10800"/>
      </w:tabs>
      <w:ind w:right="360"/>
      <w:rPr>
        <w:sz w:val="20"/>
        <w:szCs w:val="20"/>
      </w:rPr>
    </w:pPr>
    <w:r>
      <w:rPr>
        <w:sz w:val="20"/>
        <w:szCs w:val="20"/>
      </w:rPr>
      <w:t>FGDC</w:t>
    </w:r>
    <w:r w:rsidR="00174D79" w:rsidRPr="00D8376C">
      <w:rPr>
        <w:sz w:val="20"/>
        <w:szCs w:val="20"/>
      </w:rPr>
      <w:tab/>
    </w:r>
    <w:r w:rsidR="00AC4B62" w:rsidRPr="00D8376C">
      <w:rPr>
        <w:sz w:val="20"/>
        <w:szCs w:val="20"/>
      </w:rPr>
      <w:fldChar w:fldCharType="begin"/>
    </w:r>
    <w:r w:rsidR="00AC4B62" w:rsidRPr="00D8376C">
      <w:rPr>
        <w:sz w:val="20"/>
        <w:szCs w:val="20"/>
      </w:rPr>
      <w:instrText xml:space="preserve"> PAGE   \* MERGEFORMAT </w:instrText>
    </w:r>
    <w:r w:rsidR="00AC4B62" w:rsidRPr="00D8376C">
      <w:rPr>
        <w:sz w:val="20"/>
        <w:szCs w:val="20"/>
      </w:rPr>
      <w:fldChar w:fldCharType="separate"/>
    </w:r>
    <w:r w:rsidR="00F16A85">
      <w:rPr>
        <w:noProof/>
        <w:sz w:val="20"/>
        <w:szCs w:val="20"/>
      </w:rPr>
      <w:t>1</w:t>
    </w:r>
    <w:r w:rsidR="00AC4B62" w:rsidRPr="00D8376C">
      <w:rPr>
        <w:noProof/>
        <w:sz w:val="20"/>
        <w:szCs w:val="20"/>
      </w:rPr>
      <w:fldChar w:fldCharType="end"/>
    </w:r>
    <w:r w:rsidR="00174D79" w:rsidRPr="00D8376C">
      <w:rPr>
        <w:noProof/>
        <w:sz w:val="20"/>
        <w:szCs w:val="20"/>
      </w:rPr>
      <w:tab/>
    </w:r>
    <w:hyperlink r:id="rId1" w:history="1">
      <w:r w:rsidR="00174D79" w:rsidRPr="00D8376C">
        <w:rPr>
          <w:rStyle w:val="Hyperlink"/>
          <w:noProof/>
          <w:sz w:val="20"/>
          <w:szCs w:val="20"/>
        </w:rPr>
        <w:t>www.fgdc.gov/standards</w:t>
      </w:r>
    </w:hyperlink>
    <w:r w:rsidR="00174D79" w:rsidRPr="00D8376C">
      <w:rPr>
        <w:noProof/>
        <w:sz w:val="20"/>
        <w:szCs w:val="20"/>
      </w:rPr>
      <w:t xml:space="preserve"> </w:t>
    </w:r>
  </w:p>
  <w:p w:rsidR="00AC4B62" w:rsidRDefault="00AC4B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CAF" w:rsidRDefault="003D6CAF" w:rsidP="00BE5E27">
      <w:r>
        <w:separator/>
      </w:r>
    </w:p>
  </w:footnote>
  <w:footnote w:type="continuationSeparator" w:id="0">
    <w:p w:rsidR="003D6CAF" w:rsidRDefault="003D6CAF" w:rsidP="00BE5E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52A72"/>
    <w:multiLevelType w:val="hybridMultilevel"/>
    <w:tmpl w:val="0E38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624B4"/>
    <w:multiLevelType w:val="hybridMultilevel"/>
    <w:tmpl w:val="79706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CF3BD6"/>
    <w:multiLevelType w:val="hybridMultilevel"/>
    <w:tmpl w:val="2ED28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4A3FDA"/>
    <w:multiLevelType w:val="hybridMultilevel"/>
    <w:tmpl w:val="0BB2F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BF3"/>
    <w:rsid w:val="0000082E"/>
    <w:rsid w:val="00001A15"/>
    <w:rsid w:val="000050CB"/>
    <w:rsid w:val="00005B6E"/>
    <w:rsid w:val="0000703A"/>
    <w:rsid w:val="00010127"/>
    <w:rsid w:val="0001019A"/>
    <w:rsid w:val="00013594"/>
    <w:rsid w:val="000137A9"/>
    <w:rsid w:val="00013814"/>
    <w:rsid w:val="000149CC"/>
    <w:rsid w:val="00015C25"/>
    <w:rsid w:val="00017235"/>
    <w:rsid w:val="00021BD0"/>
    <w:rsid w:val="00025CB6"/>
    <w:rsid w:val="00027903"/>
    <w:rsid w:val="00027B0D"/>
    <w:rsid w:val="000313D0"/>
    <w:rsid w:val="00032407"/>
    <w:rsid w:val="0003308E"/>
    <w:rsid w:val="0003508E"/>
    <w:rsid w:val="0003520C"/>
    <w:rsid w:val="000360F5"/>
    <w:rsid w:val="00040B66"/>
    <w:rsid w:val="00041C8F"/>
    <w:rsid w:val="000450E3"/>
    <w:rsid w:val="000511E0"/>
    <w:rsid w:val="000514EF"/>
    <w:rsid w:val="000557DD"/>
    <w:rsid w:val="000558EB"/>
    <w:rsid w:val="00056BE0"/>
    <w:rsid w:val="000578C2"/>
    <w:rsid w:val="000603F6"/>
    <w:rsid w:val="00061532"/>
    <w:rsid w:val="00061C84"/>
    <w:rsid w:val="00062058"/>
    <w:rsid w:val="00062379"/>
    <w:rsid w:val="00062CCA"/>
    <w:rsid w:val="00065346"/>
    <w:rsid w:val="000665E6"/>
    <w:rsid w:val="00066A3F"/>
    <w:rsid w:val="00066F31"/>
    <w:rsid w:val="00070484"/>
    <w:rsid w:val="00071C95"/>
    <w:rsid w:val="000732A2"/>
    <w:rsid w:val="00074290"/>
    <w:rsid w:val="00074B72"/>
    <w:rsid w:val="00074C3B"/>
    <w:rsid w:val="00075848"/>
    <w:rsid w:val="00076F29"/>
    <w:rsid w:val="00082B5B"/>
    <w:rsid w:val="000840CA"/>
    <w:rsid w:val="00084259"/>
    <w:rsid w:val="00086E9C"/>
    <w:rsid w:val="000870D8"/>
    <w:rsid w:val="00087CF0"/>
    <w:rsid w:val="00092FDD"/>
    <w:rsid w:val="000941A2"/>
    <w:rsid w:val="000A0473"/>
    <w:rsid w:val="000A0B52"/>
    <w:rsid w:val="000A0D9F"/>
    <w:rsid w:val="000A12FD"/>
    <w:rsid w:val="000A45B1"/>
    <w:rsid w:val="000A52B1"/>
    <w:rsid w:val="000A553A"/>
    <w:rsid w:val="000A5EC8"/>
    <w:rsid w:val="000A7133"/>
    <w:rsid w:val="000A74D9"/>
    <w:rsid w:val="000B1178"/>
    <w:rsid w:val="000B209C"/>
    <w:rsid w:val="000B5638"/>
    <w:rsid w:val="000B56A5"/>
    <w:rsid w:val="000B5A77"/>
    <w:rsid w:val="000B6706"/>
    <w:rsid w:val="000B7EBD"/>
    <w:rsid w:val="000C0097"/>
    <w:rsid w:val="000C11A2"/>
    <w:rsid w:val="000C44AA"/>
    <w:rsid w:val="000C5192"/>
    <w:rsid w:val="000C5331"/>
    <w:rsid w:val="000D1B87"/>
    <w:rsid w:val="000D210C"/>
    <w:rsid w:val="000D24F4"/>
    <w:rsid w:val="000D2E2D"/>
    <w:rsid w:val="000D3592"/>
    <w:rsid w:val="000D5863"/>
    <w:rsid w:val="000D5DEA"/>
    <w:rsid w:val="000D78F0"/>
    <w:rsid w:val="000E160E"/>
    <w:rsid w:val="000E282D"/>
    <w:rsid w:val="000F0250"/>
    <w:rsid w:val="000F0645"/>
    <w:rsid w:val="000F0E6D"/>
    <w:rsid w:val="000F1212"/>
    <w:rsid w:val="000F15F8"/>
    <w:rsid w:val="000F21C0"/>
    <w:rsid w:val="000F3B7D"/>
    <w:rsid w:val="000F47D7"/>
    <w:rsid w:val="000F660C"/>
    <w:rsid w:val="000F758A"/>
    <w:rsid w:val="001022D0"/>
    <w:rsid w:val="00102642"/>
    <w:rsid w:val="00102EB2"/>
    <w:rsid w:val="00103F56"/>
    <w:rsid w:val="00104071"/>
    <w:rsid w:val="00106501"/>
    <w:rsid w:val="001070F9"/>
    <w:rsid w:val="00115FE0"/>
    <w:rsid w:val="00120361"/>
    <w:rsid w:val="00122536"/>
    <w:rsid w:val="001229E5"/>
    <w:rsid w:val="0012356D"/>
    <w:rsid w:val="0012684B"/>
    <w:rsid w:val="0012747D"/>
    <w:rsid w:val="00127C6F"/>
    <w:rsid w:val="00132F48"/>
    <w:rsid w:val="0013310E"/>
    <w:rsid w:val="001337D5"/>
    <w:rsid w:val="00135CD4"/>
    <w:rsid w:val="00140811"/>
    <w:rsid w:val="00141B6D"/>
    <w:rsid w:val="00146A77"/>
    <w:rsid w:val="00146F56"/>
    <w:rsid w:val="0015027A"/>
    <w:rsid w:val="00151901"/>
    <w:rsid w:val="00151A5B"/>
    <w:rsid w:val="00151BA2"/>
    <w:rsid w:val="00153842"/>
    <w:rsid w:val="00154514"/>
    <w:rsid w:val="001545F0"/>
    <w:rsid w:val="001578C4"/>
    <w:rsid w:val="00160E43"/>
    <w:rsid w:val="001614C8"/>
    <w:rsid w:val="00162BA0"/>
    <w:rsid w:val="001636D4"/>
    <w:rsid w:val="00165350"/>
    <w:rsid w:val="00166FC6"/>
    <w:rsid w:val="001707EE"/>
    <w:rsid w:val="00171B93"/>
    <w:rsid w:val="00172F98"/>
    <w:rsid w:val="00174D79"/>
    <w:rsid w:val="00174DBF"/>
    <w:rsid w:val="001772F0"/>
    <w:rsid w:val="00180A31"/>
    <w:rsid w:val="001824C1"/>
    <w:rsid w:val="0018297B"/>
    <w:rsid w:val="00182E5B"/>
    <w:rsid w:val="0019068E"/>
    <w:rsid w:val="001927C6"/>
    <w:rsid w:val="00195A7A"/>
    <w:rsid w:val="001A2EF5"/>
    <w:rsid w:val="001A512B"/>
    <w:rsid w:val="001A7445"/>
    <w:rsid w:val="001B4C64"/>
    <w:rsid w:val="001C0A4C"/>
    <w:rsid w:val="001C2387"/>
    <w:rsid w:val="001C28BC"/>
    <w:rsid w:val="001C65C5"/>
    <w:rsid w:val="001D0032"/>
    <w:rsid w:val="001D00CB"/>
    <w:rsid w:val="001D64B5"/>
    <w:rsid w:val="001E1B64"/>
    <w:rsid w:val="001E2804"/>
    <w:rsid w:val="001E2EA9"/>
    <w:rsid w:val="001E3CF6"/>
    <w:rsid w:val="001E3ED0"/>
    <w:rsid w:val="001E52FD"/>
    <w:rsid w:val="001E7DF4"/>
    <w:rsid w:val="001F030A"/>
    <w:rsid w:val="00202DE1"/>
    <w:rsid w:val="0020351C"/>
    <w:rsid w:val="00204BED"/>
    <w:rsid w:val="00206D3E"/>
    <w:rsid w:val="00206E38"/>
    <w:rsid w:val="00210DD6"/>
    <w:rsid w:val="00211B51"/>
    <w:rsid w:val="00213885"/>
    <w:rsid w:val="0021595D"/>
    <w:rsid w:val="00216271"/>
    <w:rsid w:val="00216541"/>
    <w:rsid w:val="00217270"/>
    <w:rsid w:val="0022009E"/>
    <w:rsid w:val="002202DC"/>
    <w:rsid w:val="00220314"/>
    <w:rsid w:val="00222810"/>
    <w:rsid w:val="002230A2"/>
    <w:rsid w:val="002247E2"/>
    <w:rsid w:val="00226276"/>
    <w:rsid w:val="002306B4"/>
    <w:rsid w:val="00232465"/>
    <w:rsid w:val="002361C9"/>
    <w:rsid w:val="002374EC"/>
    <w:rsid w:val="00240821"/>
    <w:rsid w:val="00241DED"/>
    <w:rsid w:val="00244A63"/>
    <w:rsid w:val="00245856"/>
    <w:rsid w:val="00247892"/>
    <w:rsid w:val="00250279"/>
    <w:rsid w:val="002523B5"/>
    <w:rsid w:val="00252F2B"/>
    <w:rsid w:val="002544DF"/>
    <w:rsid w:val="00260D80"/>
    <w:rsid w:val="00261466"/>
    <w:rsid w:val="002616B4"/>
    <w:rsid w:val="00261F11"/>
    <w:rsid w:val="00262A52"/>
    <w:rsid w:val="0026726A"/>
    <w:rsid w:val="00273FF8"/>
    <w:rsid w:val="00274534"/>
    <w:rsid w:val="00274F9F"/>
    <w:rsid w:val="00277884"/>
    <w:rsid w:val="0028135A"/>
    <w:rsid w:val="002815A2"/>
    <w:rsid w:val="002819A9"/>
    <w:rsid w:val="00281AB9"/>
    <w:rsid w:val="00285AF3"/>
    <w:rsid w:val="00286772"/>
    <w:rsid w:val="00290246"/>
    <w:rsid w:val="00291327"/>
    <w:rsid w:val="00293A81"/>
    <w:rsid w:val="00293D95"/>
    <w:rsid w:val="0029423B"/>
    <w:rsid w:val="00294270"/>
    <w:rsid w:val="00294805"/>
    <w:rsid w:val="00295C16"/>
    <w:rsid w:val="002973C0"/>
    <w:rsid w:val="002978F0"/>
    <w:rsid w:val="002A17E5"/>
    <w:rsid w:val="002A2C99"/>
    <w:rsid w:val="002A3A37"/>
    <w:rsid w:val="002A48A9"/>
    <w:rsid w:val="002A5576"/>
    <w:rsid w:val="002A6227"/>
    <w:rsid w:val="002A62C7"/>
    <w:rsid w:val="002A7646"/>
    <w:rsid w:val="002A7DD2"/>
    <w:rsid w:val="002B0041"/>
    <w:rsid w:val="002B0741"/>
    <w:rsid w:val="002B1D98"/>
    <w:rsid w:val="002B2FC4"/>
    <w:rsid w:val="002B4F33"/>
    <w:rsid w:val="002B4FD6"/>
    <w:rsid w:val="002B5115"/>
    <w:rsid w:val="002B749B"/>
    <w:rsid w:val="002C3B08"/>
    <w:rsid w:val="002C5542"/>
    <w:rsid w:val="002C6AB5"/>
    <w:rsid w:val="002C709B"/>
    <w:rsid w:val="002C73D9"/>
    <w:rsid w:val="002D0268"/>
    <w:rsid w:val="002D28B4"/>
    <w:rsid w:val="002D319D"/>
    <w:rsid w:val="002D3440"/>
    <w:rsid w:val="002D60A5"/>
    <w:rsid w:val="002D7D96"/>
    <w:rsid w:val="002E0D7C"/>
    <w:rsid w:val="002E2EF1"/>
    <w:rsid w:val="002E3070"/>
    <w:rsid w:val="002E31BC"/>
    <w:rsid w:val="002E454E"/>
    <w:rsid w:val="002E791A"/>
    <w:rsid w:val="002F0E23"/>
    <w:rsid w:val="002F1BB5"/>
    <w:rsid w:val="002F1CB7"/>
    <w:rsid w:val="002F48A1"/>
    <w:rsid w:val="002F4B26"/>
    <w:rsid w:val="002F4B61"/>
    <w:rsid w:val="002F6FE0"/>
    <w:rsid w:val="002F7555"/>
    <w:rsid w:val="002F780D"/>
    <w:rsid w:val="00302880"/>
    <w:rsid w:val="00303376"/>
    <w:rsid w:val="00306883"/>
    <w:rsid w:val="00307DC6"/>
    <w:rsid w:val="00311B2C"/>
    <w:rsid w:val="00315DC8"/>
    <w:rsid w:val="0031676F"/>
    <w:rsid w:val="0032115E"/>
    <w:rsid w:val="00321509"/>
    <w:rsid w:val="00322D6B"/>
    <w:rsid w:val="003231FD"/>
    <w:rsid w:val="003240CB"/>
    <w:rsid w:val="00325763"/>
    <w:rsid w:val="00325985"/>
    <w:rsid w:val="00326E2F"/>
    <w:rsid w:val="00337D96"/>
    <w:rsid w:val="00340AC0"/>
    <w:rsid w:val="00340BA6"/>
    <w:rsid w:val="00342FA6"/>
    <w:rsid w:val="00343C6E"/>
    <w:rsid w:val="003475CB"/>
    <w:rsid w:val="0035393F"/>
    <w:rsid w:val="00353A76"/>
    <w:rsid w:val="00355812"/>
    <w:rsid w:val="00355CEF"/>
    <w:rsid w:val="00356E5A"/>
    <w:rsid w:val="00357121"/>
    <w:rsid w:val="00360DC0"/>
    <w:rsid w:val="003610DE"/>
    <w:rsid w:val="00363E5B"/>
    <w:rsid w:val="003648A5"/>
    <w:rsid w:val="00364EE4"/>
    <w:rsid w:val="00365F44"/>
    <w:rsid w:val="003702B7"/>
    <w:rsid w:val="00371891"/>
    <w:rsid w:val="003728DB"/>
    <w:rsid w:val="003764A3"/>
    <w:rsid w:val="00376E22"/>
    <w:rsid w:val="00377224"/>
    <w:rsid w:val="00380C04"/>
    <w:rsid w:val="00384544"/>
    <w:rsid w:val="003860EE"/>
    <w:rsid w:val="00386189"/>
    <w:rsid w:val="00387788"/>
    <w:rsid w:val="00391AA7"/>
    <w:rsid w:val="00392B8B"/>
    <w:rsid w:val="00395E49"/>
    <w:rsid w:val="00396204"/>
    <w:rsid w:val="00396895"/>
    <w:rsid w:val="003968AB"/>
    <w:rsid w:val="00397792"/>
    <w:rsid w:val="003A3D82"/>
    <w:rsid w:val="003A7EF8"/>
    <w:rsid w:val="003B08E2"/>
    <w:rsid w:val="003B0A06"/>
    <w:rsid w:val="003B1A94"/>
    <w:rsid w:val="003B2194"/>
    <w:rsid w:val="003B5EE8"/>
    <w:rsid w:val="003B68AD"/>
    <w:rsid w:val="003B732D"/>
    <w:rsid w:val="003B7DED"/>
    <w:rsid w:val="003C01E2"/>
    <w:rsid w:val="003C2CAB"/>
    <w:rsid w:val="003C3964"/>
    <w:rsid w:val="003D041E"/>
    <w:rsid w:val="003D2955"/>
    <w:rsid w:val="003D57A9"/>
    <w:rsid w:val="003D6CAF"/>
    <w:rsid w:val="003E012D"/>
    <w:rsid w:val="003E3468"/>
    <w:rsid w:val="003E52A8"/>
    <w:rsid w:val="003E58E3"/>
    <w:rsid w:val="003E7308"/>
    <w:rsid w:val="003F109E"/>
    <w:rsid w:val="003F11BD"/>
    <w:rsid w:val="003F3EDA"/>
    <w:rsid w:val="003F57F9"/>
    <w:rsid w:val="003F5C59"/>
    <w:rsid w:val="003F672E"/>
    <w:rsid w:val="00402120"/>
    <w:rsid w:val="00402D7F"/>
    <w:rsid w:val="004035D1"/>
    <w:rsid w:val="00404AD5"/>
    <w:rsid w:val="00405E56"/>
    <w:rsid w:val="00411ECE"/>
    <w:rsid w:val="00413F69"/>
    <w:rsid w:val="0041499D"/>
    <w:rsid w:val="00414AAD"/>
    <w:rsid w:val="00414C1A"/>
    <w:rsid w:val="004174B1"/>
    <w:rsid w:val="0042016C"/>
    <w:rsid w:val="00426B79"/>
    <w:rsid w:val="00430F70"/>
    <w:rsid w:val="00431E49"/>
    <w:rsid w:val="00431F67"/>
    <w:rsid w:val="00432BBC"/>
    <w:rsid w:val="00433D0D"/>
    <w:rsid w:val="004342D6"/>
    <w:rsid w:val="0044036B"/>
    <w:rsid w:val="00443FC6"/>
    <w:rsid w:val="004447EC"/>
    <w:rsid w:val="00445608"/>
    <w:rsid w:val="00446B8D"/>
    <w:rsid w:val="00446C87"/>
    <w:rsid w:val="00446E1D"/>
    <w:rsid w:val="00447CE5"/>
    <w:rsid w:val="0045377D"/>
    <w:rsid w:val="00457667"/>
    <w:rsid w:val="00457750"/>
    <w:rsid w:val="004611E9"/>
    <w:rsid w:val="00464169"/>
    <w:rsid w:val="00465196"/>
    <w:rsid w:val="00465DBA"/>
    <w:rsid w:val="00467AC1"/>
    <w:rsid w:val="00467B3A"/>
    <w:rsid w:val="0047103C"/>
    <w:rsid w:val="00475595"/>
    <w:rsid w:val="004774EE"/>
    <w:rsid w:val="0047782F"/>
    <w:rsid w:val="00481C23"/>
    <w:rsid w:val="004823D4"/>
    <w:rsid w:val="0048295B"/>
    <w:rsid w:val="00487661"/>
    <w:rsid w:val="00491F79"/>
    <w:rsid w:val="00492EE6"/>
    <w:rsid w:val="004941D8"/>
    <w:rsid w:val="00494F26"/>
    <w:rsid w:val="004951F2"/>
    <w:rsid w:val="00495833"/>
    <w:rsid w:val="0049641D"/>
    <w:rsid w:val="004A5B4F"/>
    <w:rsid w:val="004A79B5"/>
    <w:rsid w:val="004B0366"/>
    <w:rsid w:val="004B13D9"/>
    <w:rsid w:val="004B1DE8"/>
    <w:rsid w:val="004B20AE"/>
    <w:rsid w:val="004B34C0"/>
    <w:rsid w:val="004B3751"/>
    <w:rsid w:val="004B5F62"/>
    <w:rsid w:val="004C2074"/>
    <w:rsid w:val="004C3F88"/>
    <w:rsid w:val="004C4B0A"/>
    <w:rsid w:val="004C5AA7"/>
    <w:rsid w:val="004C6591"/>
    <w:rsid w:val="004C68D6"/>
    <w:rsid w:val="004C75B0"/>
    <w:rsid w:val="004D1F8C"/>
    <w:rsid w:val="004D20C9"/>
    <w:rsid w:val="004D4E6E"/>
    <w:rsid w:val="004D69EE"/>
    <w:rsid w:val="004D6D84"/>
    <w:rsid w:val="004D7F11"/>
    <w:rsid w:val="004E015B"/>
    <w:rsid w:val="004E3458"/>
    <w:rsid w:val="004E4F1C"/>
    <w:rsid w:val="004E6111"/>
    <w:rsid w:val="004E6701"/>
    <w:rsid w:val="004E788C"/>
    <w:rsid w:val="004F092B"/>
    <w:rsid w:val="004F0ABC"/>
    <w:rsid w:val="004F1B66"/>
    <w:rsid w:val="004F2214"/>
    <w:rsid w:val="004F22DB"/>
    <w:rsid w:val="004F4922"/>
    <w:rsid w:val="004F5510"/>
    <w:rsid w:val="0050026A"/>
    <w:rsid w:val="0050313B"/>
    <w:rsid w:val="00504CC4"/>
    <w:rsid w:val="005052F3"/>
    <w:rsid w:val="0050711C"/>
    <w:rsid w:val="00507D9D"/>
    <w:rsid w:val="0051252D"/>
    <w:rsid w:val="00512C52"/>
    <w:rsid w:val="00514A1D"/>
    <w:rsid w:val="005158A9"/>
    <w:rsid w:val="00515910"/>
    <w:rsid w:val="005170F5"/>
    <w:rsid w:val="00520ABF"/>
    <w:rsid w:val="00522D2E"/>
    <w:rsid w:val="0052399B"/>
    <w:rsid w:val="00523EC4"/>
    <w:rsid w:val="0052514A"/>
    <w:rsid w:val="0052689A"/>
    <w:rsid w:val="00527E14"/>
    <w:rsid w:val="00531307"/>
    <w:rsid w:val="00532C33"/>
    <w:rsid w:val="005335B3"/>
    <w:rsid w:val="00534D15"/>
    <w:rsid w:val="00535026"/>
    <w:rsid w:val="00535312"/>
    <w:rsid w:val="005353D1"/>
    <w:rsid w:val="0053755D"/>
    <w:rsid w:val="005379B9"/>
    <w:rsid w:val="0054035E"/>
    <w:rsid w:val="005411DC"/>
    <w:rsid w:val="0054204C"/>
    <w:rsid w:val="00542BE2"/>
    <w:rsid w:val="00543014"/>
    <w:rsid w:val="0054340B"/>
    <w:rsid w:val="00544EF7"/>
    <w:rsid w:val="00552EEC"/>
    <w:rsid w:val="00553E46"/>
    <w:rsid w:val="00557127"/>
    <w:rsid w:val="00557A7A"/>
    <w:rsid w:val="0056345A"/>
    <w:rsid w:val="00566072"/>
    <w:rsid w:val="005671D1"/>
    <w:rsid w:val="0057223C"/>
    <w:rsid w:val="005728EE"/>
    <w:rsid w:val="00572C75"/>
    <w:rsid w:val="0057460F"/>
    <w:rsid w:val="00576917"/>
    <w:rsid w:val="00576BD9"/>
    <w:rsid w:val="00580505"/>
    <w:rsid w:val="005817F3"/>
    <w:rsid w:val="00587A4C"/>
    <w:rsid w:val="00587FDD"/>
    <w:rsid w:val="005912E6"/>
    <w:rsid w:val="005945C9"/>
    <w:rsid w:val="00594BB6"/>
    <w:rsid w:val="005A020E"/>
    <w:rsid w:val="005A13FD"/>
    <w:rsid w:val="005A2E06"/>
    <w:rsid w:val="005A3F97"/>
    <w:rsid w:val="005A44C1"/>
    <w:rsid w:val="005A462B"/>
    <w:rsid w:val="005A73D6"/>
    <w:rsid w:val="005A7863"/>
    <w:rsid w:val="005B081F"/>
    <w:rsid w:val="005B128C"/>
    <w:rsid w:val="005B249C"/>
    <w:rsid w:val="005B6461"/>
    <w:rsid w:val="005B6A8D"/>
    <w:rsid w:val="005C0868"/>
    <w:rsid w:val="005C3760"/>
    <w:rsid w:val="005C47FE"/>
    <w:rsid w:val="005C4DD7"/>
    <w:rsid w:val="005C71B5"/>
    <w:rsid w:val="005D16A2"/>
    <w:rsid w:val="005E16DB"/>
    <w:rsid w:val="005E1CB9"/>
    <w:rsid w:val="005E23FB"/>
    <w:rsid w:val="005E26B8"/>
    <w:rsid w:val="005E3518"/>
    <w:rsid w:val="005E5E41"/>
    <w:rsid w:val="005F0486"/>
    <w:rsid w:val="005F1E68"/>
    <w:rsid w:val="005F2E34"/>
    <w:rsid w:val="005F501B"/>
    <w:rsid w:val="006017FF"/>
    <w:rsid w:val="00601BF0"/>
    <w:rsid w:val="0060261E"/>
    <w:rsid w:val="006026A2"/>
    <w:rsid w:val="00605075"/>
    <w:rsid w:val="00605637"/>
    <w:rsid w:val="00607C54"/>
    <w:rsid w:val="00607EE2"/>
    <w:rsid w:val="006126BC"/>
    <w:rsid w:val="00616612"/>
    <w:rsid w:val="00617032"/>
    <w:rsid w:val="006178FC"/>
    <w:rsid w:val="00617F62"/>
    <w:rsid w:val="00621F06"/>
    <w:rsid w:val="00622C4A"/>
    <w:rsid w:val="00622FE9"/>
    <w:rsid w:val="006232AF"/>
    <w:rsid w:val="00625096"/>
    <w:rsid w:val="00626B45"/>
    <w:rsid w:val="00627A70"/>
    <w:rsid w:val="00630482"/>
    <w:rsid w:val="0063060D"/>
    <w:rsid w:val="00630BBB"/>
    <w:rsid w:val="00631B64"/>
    <w:rsid w:val="0063272C"/>
    <w:rsid w:val="006354D6"/>
    <w:rsid w:val="00635B90"/>
    <w:rsid w:val="006378E8"/>
    <w:rsid w:val="00637D38"/>
    <w:rsid w:val="00641AB8"/>
    <w:rsid w:val="00642F2D"/>
    <w:rsid w:val="00643B1D"/>
    <w:rsid w:val="00643D87"/>
    <w:rsid w:val="00644CF2"/>
    <w:rsid w:val="00646F3E"/>
    <w:rsid w:val="00650165"/>
    <w:rsid w:val="006512DB"/>
    <w:rsid w:val="0065416C"/>
    <w:rsid w:val="0065596A"/>
    <w:rsid w:val="00660B04"/>
    <w:rsid w:val="0066423B"/>
    <w:rsid w:val="0066672D"/>
    <w:rsid w:val="00666B35"/>
    <w:rsid w:val="00666B5F"/>
    <w:rsid w:val="00666B80"/>
    <w:rsid w:val="00667409"/>
    <w:rsid w:val="0066746E"/>
    <w:rsid w:val="0066776D"/>
    <w:rsid w:val="006708FA"/>
    <w:rsid w:val="00670EB0"/>
    <w:rsid w:val="006717B5"/>
    <w:rsid w:val="00671AA5"/>
    <w:rsid w:val="00672889"/>
    <w:rsid w:val="00673263"/>
    <w:rsid w:val="00673313"/>
    <w:rsid w:val="00674ACE"/>
    <w:rsid w:val="00677091"/>
    <w:rsid w:val="0067770D"/>
    <w:rsid w:val="00685254"/>
    <w:rsid w:val="00685382"/>
    <w:rsid w:val="006879D8"/>
    <w:rsid w:val="00690CEB"/>
    <w:rsid w:val="00691328"/>
    <w:rsid w:val="00692EA6"/>
    <w:rsid w:val="0069322C"/>
    <w:rsid w:val="0069394B"/>
    <w:rsid w:val="00694BF3"/>
    <w:rsid w:val="00695DE5"/>
    <w:rsid w:val="006A086B"/>
    <w:rsid w:val="006A2924"/>
    <w:rsid w:val="006A47E7"/>
    <w:rsid w:val="006A4E0B"/>
    <w:rsid w:val="006A7B55"/>
    <w:rsid w:val="006B16A8"/>
    <w:rsid w:val="006B1D3D"/>
    <w:rsid w:val="006B3116"/>
    <w:rsid w:val="006B31F5"/>
    <w:rsid w:val="006B377A"/>
    <w:rsid w:val="006B4503"/>
    <w:rsid w:val="006B57E1"/>
    <w:rsid w:val="006B67E7"/>
    <w:rsid w:val="006B6F88"/>
    <w:rsid w:val="006B7B59"/>
    <w:rsid w:val="006C590C"/>
    <w:rsid w:val="006C75EB"/>
    <w:rsid w:val="006C7C98"/>
    <w:rsid w:val="006D02B5"/>
    <w:rsid w:val="006D07DB"/>
    <w:rsid w:val="006D0F11"/>
    <w:rsid w:val="006D1549"/>
    <w:rsid w:val="006D7245"/>
    <w:rsid w:val="006E0A40"/>
    <w:rsid w:val="006E1C67"/>
    <w:rsid w:val="006E2EE7"/>
    <w:rsid w:val="006E55F9"/>
    <w:rsid w:val="006E5A12"/>
    <w:rsid w:val="006E7A41"/>
    <w:rsid w:val="006F451C"/>
    <w:rsid w:val="006F7086"/>
    <w:rsid w:val="00700643"/>
    <w:rsid w:val="00700EB3"/>
    <w:rsid w:val="00701816"/>
    <w:rsid w:val="00701F73"/>
    <w:rsid w:val="00702EC2"/>
    <w:rsid w:val="00703102"/>
    <w:rsid w:val="007033B5"/>
    <w:rsid w:val="007034A5"/>
    <w:rsid w:val="00703C92"/>
    <w:rsid w:val="00705E7D"/>
    <w:rsid w:val="007068C1"/>
    <w:rsid w:val="00713712"/>
    <w:rsid w:val="007139F3"/>
    <w:rsid w:val="00716785"/>
    <w:rsid w:val="00717AB5"/>
    <w:rsid w:val="0072031F"/>
    <w:rsid w:val="00721CD6"/>
    <w:rsid w:val="00721ED9"/>
    <w:rsid w:val="00723DAB"/>
    <w:rsid w:val="0072406F"/>
    <w:rsid w:val="007240B7"/>
    <w:rsid w:val="00724136"/>
    <w:rsid w:val="00724F7F"/>
    <w:rsid w:val="00726E10"/>
    <w:rsid w:val="00727C0D"/>
    <w:rsid w:val="00731CE6"/>
    <w:rsid w:val="00732AFB"/>
    <w:rsid w:val="00734C13"/>
    <w:rsid w:val="00736151"/>
    <w:rsid w:val="00736E59"/>
    <w:rsid w:val="00741214"/>
    <w:rsid w:val="007429ED"/>
    <w:rsid w:val="00747C50"/>
    <w:rsid w:val="00747CDB"/>
    <w:rsid w:val="00747E92"/>
    <w:rsid w:val="007555D7"/>
    <w:rsid w:val="00757743"/>
    <w:rsid w:val="0076023B"/>
    <w:rsid w:val="0076175F"/>
    <w:rsid w:val="007655C6"/>
    <w:rsid w:val="00766935"/>
    <w:rsid w:val="00766D71"/>
    <w:rsid w:val="0076741E"/>
    <w:rsid w:val="00770E52"/>
    <w:rsid w:val="0077221C"/>
    <w:rsid w:val="0077250D"/>
    <w:rsid w:val="00772A4F"/>
    <w:rsid w:val="00772E58"/>
    <w:rsid w:val="0077313B"/>
    <w:rsid w:val="00773F44"/>
    <w:rsid w:val="00775E36"/>
    <w:rsid w:val="0078053B"/>
    <w:rsid w:val="0078067A"/>
    <w:rsid w:val="007827CB"/>
    <w:rsid w:val="007845E7"/>
    <w:rsid w:val="0078563B"/>
    <w:rsid w:val="007858F8"/>
    <w:rsid w:val="00785AF1"/>
    <w:rsid w:val="00785C06"/>
    <w:rsid w:val="0078623E"/>
    <w:rsid w:val="007900EE"/>
    <w:rsid w:val="00792E65"/>
    <w:rsid w:val="00794B9E"/>
    <w:rsid w:val="0079603F"/>
    <w:rsid w:val="00796FC0"/>
    <w:rsid w:val="007A41CB"/>
    <w:rsid w:val="007A4F88"/>
    <w:rsid w:val="007A5027"/>
    <w:rsid w:val="007A5941"/>
    <w:rsid w:val="007B6022"/>
    <w:rsid w:val="007B7DA7"/>
    <w:rsid w:val="007C4173"/>
    <w:rsid w:val="007C4296"/>
    <w:rsid w:val="007C563C"/>
    <w:rsid w:val="007C656D"/>
    <w:rsid w:val="007D0958"/>
    <w:rsid w:val="007D2E64"/>
    <w:rsid w:val="007D2F72"/>
    <w:rsid w:val="007D3CF1"/>
    <w:rsid w:val="007D67CF"/>
    <w:rsid w:val="007E290F"/>
    <w:rsid w:val="007E32AE"/>
    <w:rsid w:val="007E4EBD"/>
    <w:rsid w:val="007F2281"/>
    <w:rsid w:val="007F29AB"/>
    <w:rsid w:val="007F2A8C"/>
    <w:rsid w:val="007F4E2F"/>
    <w:rsid w:val="007F5455"/>
    <w:rsid w:val="00801982"/>
    <w:rsid w:val="00802C18"/>
    <w:rsid w:val="0080418E"/>
    <w:rsid w:val="008075C9"/>
    <w:rsid w:val="00810893"/>
    <w:rsid w:val="008118FB"/>
    <w:rsid w:val="00813A96"/>
    <w:rsid w:val="008152B5"/>
    <w:rsid w:val="00815F0E"/>
    <w:rsid w:val="00821F9A"/>
    <w:rsid w:val="00823CFE"/>
    <w:rsid w:val="00823DF7"/>
    <w:rsid w:val="00823FB8"/>
    <w:rsid w:val="00824359"/>
    <w:rsid w:val="0082501D"/>
    <w:rsid w:val="008269EF"/>
    <w:rsid w:val="00826BCC"/>
    <w:rsid w:val="00826C40"/>
    <w:rsid w:val="00826F7C"/>
    <w:rsid w:val="008276D8"/>
    <w:rsid w:val="00827E12"/>
    <w:rsid w:val="00831583"/>
    <w:rsid w:val="00833097"/>
    <w:rsid w:val="00833AEF"/>
    <w:rsid w:val="008340F4"/>
    <w:rsid w:val="008342BF"/>
    <w:rsid w:val="00835364"/>
    <w:rsid w:val="00836912"/>
    <w:rsid w:val="00836C62"/>
    <w:rsid w:val="0084013B"/>
    <w:rsid w:val="008403D8"/>
    <w:rsid w:val="00840A30"/>
    <w:rsid w:val="008432BC"/>
    <w:rsid w:val="008466A2"/>
    <w:rsid w:val="00847E9A"/>
    <w:rsid w:val="00852194"/>
    <w:rsid w:val="008530DE"/>
    <w:rsid w:val="00853505"/>
    <w:rsid w:val="00854529"/>
    <w:rsid w:val="00855ACB"/>
    <w:rsid w:val="00862812"/>
    <w:rsid w:val="00862FBE"/>
    <w:rsid w:val="0086639F"/>
    <w:rsid w:val="008705BB"/>
    <w:rsid w:val="008706B9"/>
    <w:rsid w:val="00870ECA"/>
    <w:rsid w:val="008725D5"/>
    <w:rsid w:val="00872D0C"/>
    <w:rsid w:val="008731D4"/>
    <w:rsid w:val="008738A7"/>
    <w:rsid w:val="008744CA"/>
    <w:rsid w:val="00876BE7"/>
    <w:rsid w:val="00876DA1"/>
    <w:rsid w:val="0088018E"/>
    <w:rsid w:val="00884C13"/>
    <w:rsid w:val="008853DF"/>
    <w:rsid w:val="00891809"/>
    <w:rsid w:val="008948A0"/>
    <w:rsid w:val="00895940"/>
    <w:rsid w:val="008A22E0"/>
    <w:rsid w:val="008A275D"/>
    <w:rsid w:val="008B080B"/>
    <w:rsid w:val="008B1846"/>
    <w:rsid w:val="008B62BB"/>
    <w:rsid w:val="008B6309"/>
    <w:rsid w:val="008C0821"/>
    <w:rsid w:val="008C13FF"/>
    <w:rsid w:val="008C18C2"/>
    <w:rsid w:val="008C34E2"/>
    <w:rsid w:val="008C4CCF"/>
    <w:rsid w:val="008D136F"/>
    <w:rsid w:val="008D253D"/>
    <w:rsid w:val="008D2A09"/>
    <w:rsid w:val="008D54F4"/>
    <w:rsid w:val="008D6ABC"/>
    <w:rsid w:val="008E2849"/>
    <w:rsid w:val="008E679E"/>
    <w:rsid w:val="008F2C71"/>
    <w:rsid w:val="008F450B"/>
    <w:rsid w:val="008F5DA6"/>
    <w:rsid w:val="008F651C"/>
    <w:rsid w:val="008F7D48"/>
    <w:rsid w:val="008F7E3D"/>
    <w:rsid w:val="009010FD"/>
    <w:rsid w:val="00901CF9"/>
    <w:rsid w:val="009021B1"/>
    <w:rsid w:val="00904E63"/>
    <w:rsid w:val="009119E3"/>
    <w:rsid w:val="009134AE"/>
    <w:rsid w:val="009151D6"/>
    <w:rsid w:val="00915C37"/>
    <w:rsid w:val="009168D9"/>
    <w:rsid w:val="00917BEB"/>
    <w:rsid w:val="0092184D"/>
    <w:rsid w:val="00921EA6"/>
    <w:rsid w:val="00922934"/>
    <w:rsid w:val="00922AAE"/>
    <w:rsid w:val="009233CB"/>
    <w:rsid w:val="00924732"/>
    <w:rsid w:val="0092488A"/>
    <w:rsid w:val="00926010"/>
    <w:rsid w:val="00926691"/>
    <w:rsid w:val="00927BEA"/>
    <w:rsid w:val="00930653"/>
    <w:rsid w:val="0093146E"/>
    <w:rsid w:val="009320F9"/>
    <w:rsid w:val="0093299B"/>
    <w:rsid w:val="00933020"/>
    <w:rsid w:val="00933F27"/>
    <w:rsid w:val="009342AD"/>
    <w:rsid w:val="009374CD"/>
    <w:rsid w:val="0093770A"/>
    <w:rsid w:val="009455B0"/>
    <w:rsid w:val="0094611D"/>
    <w:rsid w:val="009473F9"/>
    <w:rsid w:val="00950F74"/>
    <w:rsid w:val="00951D24"/>
    <w:rsid w:val="00952D4F"/>
    <w:rsid w:val="0095419A"/>
    <w:rsid w:val="00955192"/>
    <w:rsid w:val="00955665"/>
    <w:rsid w:val="00956691"/>
    <w:rsid w:val="00957F51"/>
    <w:rsid w:val="00960C13"/>
    <w:rsid w:val="00963290"/>
    <w:rsid w:val="00963473"/>
    <w:rsid w:val="0096683C"/>
    <w:rsid w:val="00966EEC"/>
    <w:rsid w:val="00967F09"/>
    <w:rsid w:val="00973574"/>
    <w:rsid w:val="00975131"/>
    <w:rsid w:val="00980713"/>
    <w:rsid w:val="009808C3"/>
    <w:rsid w:val="009813E8"/>
    <w:rsid w:val="009814A9"/>
    <w:rsid w:val="00981F58"/>
    <w:rsid w:val="009876BC"/>
    <w:rsid w:val="00990AFB"/>
    <w:rsid w:val="00992A06"/>
    <w:rsid w:val="00992EA5"/>
    <w:rsid w:val="009948D7"/>
    <w:rsid w:val="00996B79"/>
    <w:rsid w:val="00997159"/>
    <w:rsid w:val="009A0B7B"/>
    <w:rsid w:val="009A770C"/>
    <w:rsid w:val="009B0D0C"/>
    <w:rsid w:val="009B0DF8"/>
    <w:rsid w:val="009B25E1"/>
    <w:rsid w:val="009B283A"/>
    <w:rsid w:val="009B298E"/>
    <w:rsid w:val="009B3A55"/>
    <w:rsid w:val="009B4306"/>
    <w:rsid w:val="009B4EF9"/>
    <w:rsid w:val="009C0AFB"/>
    <w:rsid w:val="009C2AFE"/>
    <w:rsid w:val="009C5C1F"/>
    <w:rsid w:val="009C67C4"/>
    <w:rsid w:val="009C6CF5"/>
    <w:rsid w:val="009C6F65"/>
    <w:rsid w:val="009D0A0D"/>
    <w:rsid w:val="009D1F3D"/>
    <w:rsid w:val="009D2A98"/>
    <w:rsid w:val="009D44B0"/>
    <w:rsid w:val="009D4AC4"/>
    <w:rsid w:val="009D4BF5"/>
    <w:rsid w:val="009D54CA"/>
    <w:rsid w:val="009D6913"/>
    <w:rsid w:val="009E05A3"/>
    <w:rsid w:val="009E12FB"/>
    <w:rsid w:val="009E19FD"/>
    <w:rsid w:val="009E1CCB"/>
    <w:rsid w:val="009E4EE7"/>
    <w:rsid w:val="009E68B2"/>
    <w:rsid w:val="009F2155"/>
    <w:rsid w:val="009F464D"/>
    <w:rsid w:val="009F5F20"/>
    <w:rsid w:val="009F6397"/>
    <w:rsid w:val="009F71C4"/>
    <w:rsid w:val="009F75E4"/>
    <w:rsid w:val="00A02880"/>
    <w:rsid w:val="00A02A0E"/>
    <w:rsid w:val="00A02A9B"/>
    <w:rsid w:val="00A06D3E"/>
    <w:rsid w:val="00A070A3"/>
    <w:rsid w:val="00A07142"/>
    <w:rsid w:val="00A109E0"/>
    <w:rsid w:val="00A1118A"/>
    <w:rsid w:val="00A11961"/>
    <w:rsid w:val="00A11B70"/>
    <w:rsid w:val="00A12981"/>
    <w:rsid w:val="00A1458D"/>
    <w:rsid w:val="00A14B4A"/>
    <w:rsid w:val="00A153E4"/>
    <w:rsid w:val="00A171BD"/>
    <w:rsid w:val="00A201F0"/>
    <w:rsid w:val="00A222DE"/>
    <w:rsid w:val="00A22735"/>
    <w:rsid w:val="00A23A14"/>
    <w:rsid w:val="00A30AF2"/>
    <w:rsid w:val="00A358F8"/>
    <w:rsid w:val="00A415CF"/>
    <w:rsid w:val="00A45695"/>
    <w:rsid w:val="00A47380"/>
    <w:rsid w:val="00A50563"/>
    <w:rsid w:val="00A50784"/>
    <w:rsid w:val="00A52E4D"/>
    <w:rsid w:val="00A5438A"/>
    <w:rsid w:val="00A553A7"/>
    <w:rsid w:val="00A55981"/>
    <w:rsid w:val="00A561BC"/>
    <w:rsid w:val="00A564C3"/>
    <w:rsid w:val="00A56612"/>
    <w:rsid w:val="00A56F69"/>
    <w:rsid w:val="00A57927"/>
    <w:rsid w:val="00A61369"/>
    <w:rsid w:val="00A625CA"/>
    <w:rsid w:val="00A65B13"/>
    <w:rsid w:val="00A70112"/>
    <w:rsid w:val="00A707EF"/>
    <w:rsid w:val="00A7222F"/>
    <w:rsid w:val="00A739D6"/>
    <w:rsid w:val="00A73B7D"/>
    <w:rsid w:val="00A73D88"/>
    <w:rsid w:val="00A77C70"/>
    <w:rsid w:val="00A81C36"/>
    <w:rsid w:val="00A82F10"/>
    <w:rsid w:val="00A83B1A"/>
    <w:rsid w:val="00A83E7F"/>
    <w:rsid w:val="00A84A3A"/>
    <w:rsid w:val="00A861B3"/>
    <w:rsid w:val="00A86853"/>
    <w:rsid w:val="00A87D5F"/>
    <w:rsid w:val="00A91A5C"/>
    <w:rsid w:val="00A92AEF"/>
    <w:rsid w:val="00A93B66"/>
    <w:rsid w:val="00A95945"/>
    <w:rsid w:val="00A95AB9"/>
    <w:rsid w:val="00A96AC0"/>
    <w:rsid w:val="00AA16D6"/>
    <w:rsid w:val="00AA240B"/>
    <w:rsid w:val="00AA2824"/>
    <w:rsid w:val="00AA2860"/>
    <w:rsid w:val="00AA4149"/>
    <w:rsid w:val="00AA5A73"/>
    <w:rsid w:val="00AA6293"/>
    <w:rsid w:val="00AA666A"/>
    <w:rsid w:val="00AA671D"/>
    <w:rsid w:val="00AA72AB"/>
    <w:rsid w:val="00AB047A"/>
    <w:rsid w:val="00AB0D6E"/>
    <w:rsid w:val="00AB1812"/>
    <w:rsid w:val="00AB4926"/>
    <w:rsid w:val="00AB4ABA"/>
    <w:rsid w:val="00AB6D2C"/>
    <w:rsid w:val="00AB7E2B"/>
    <w:rsid w:val="00AC0025"/>
    <w:rsid w:val="00AC2904"/>
    <w:rsid w:val="00AC33F4"/>
    <w:rsid w:val="00AC49D7"/>
    <w:rsid w:val="00AC4B62"/>
    <w:rsid w:val="00AC7D82"/>
    <w:rsid w:val="00AD0E14"/>
    <w:rsid w:val="00AD1A03"/>
    <w:rsid w:val="00AD61B6"/>
    <w:rsid w:val="00AD7CA2"/>
    <w:rsid w:val="00AD7D9F"/>
    <w:rsid w:val="00AE07B6"/>
    <w:rsid w:val="00AE14DD"/>
    <w:rsid w:val="00AE1A09"/>
    <w:rsid w:val="00AE24FE"/>
    <w:rsid w:val="00AE4D33"/>
    <w:rsid w:val="00AE5C20"/>
    <w:rsid w:val="00AE79A3"/>
    <w:rsid w:val="00AE7CF8"/>
    <w:rsid w:val="00AF1AE5"/>
    <w:rsid w:val="00AF29B3"/>
    <w:rsid w:val="00AF2C67"/>
    <w:rsid w:val="00AF7539"/>
    <w:rsid w:val="00B003CA"/>
    <w:rsid w:val="00B01799"/>
    <w:rsid w:val="00B033B5"/>
    <w:rsid w:val="00B04FA6"/>
    <w:rsid w:val="00B07361"/>
    <w:rsid w:val="00B07F74"/>
    <w:rsid w:val="00B11E3E"/>
    <w:rsid w:val="00B17A67"/>
    <w:rsid w:val="00B17A95"/>
    <w:rsid w:val="00B25D47"/>
    <w:rsid w:val="00B26514"/>
    <w:rsid w:val="00B27A50"/>
    <w:rsid w:val="00B30CE9"/>
    <w:rsid w:val="00B30FA7"/>
    <w:rsid w:val="00B325D0"/>
    <w:rsid w:val="00B33BD3"/>
    <w:rsid w:val="00B34510"/>
    <w:rsid w:val="00B34CAA"/>
    <w:rsid w:val="00B40FAA"/>
    <w:rsid w:val="00B4292E"/>
    <w:rsid w:val="00B45E58"/>
    <w:rsid w:val="00B4626E"/>
    <w:rsid w:val="00B5001C"/>
    <w:rsid w:val="00B51E87"/>
    <w:rsid w:val="00B52710"/>
    <w:rsid w:val="00B539C9"/>
    <w:rsid w:val="00B53DC9"/>
    <w:rsid w:val="00B5456B"/>
    <w:rsid w:val="00B54AA4"/>
    <w:rsid w:val="00B54B9A"/>
    <w:rsid w:val="00B55989"/>
    <w:rsid w:val="00B614DA"/>
    <w:rsid w:val="00B61BF9"/>
    <w:rsid w:val="00B62C80"/>
    <w:rsid w:val="00B701A4"/>
    <w:rsid w:val="00B70907"/>
    <w:rsid w:val="00B70A0F"/>
    <w:rsid w:val="00B72A19"/>
    <w:rsid w:val="00B72E84"/>
    <w:rsid w:val="00B74E43"/>
    <w:rsid w:val="00B771DE"/>
    <w:rsid w:val="00B81089"/>
    <w:rsid w:val="00B85D6B"/>
    <w:rsid w:val="00B87809"/>
    <w:rsid w:val="00B90C37"/>
    <w:rsid w:val="00B94125"/>
    <w:rsid w:val="00B9570D"/>
    <w:rsid w:val="00B965BE"/>
    <w:rsid w:val="00B97685"/>
    <w:rsid w:val="00BA0DF6"/>
    <w:rsid w:val="00BA3CD8"/>
    <w:rsid w:val="00BB0C4D"/>
    <w:rsid w:val="00BB1420"/>
    <w:rsid w:val="00BB1A0E"/>
    <w:rsid w:val="00BB2318"/>
    <w:rsid w:val="00BB2AB9"/>
    <w:rsid w:val="00BB3A9A"/>
    <w:rsid w:val="00BB3ABC"/>
    <w:rsid w:val="00BB4119"/>
    <w:rsid w:val="00BB5F45"/>
    <w:rsid w:val="00BC0495"/>
    <w:rsid w:val="00BC12AD"/>
    <w:rsid w:val="00BC1B31"/>
    <w:rsid w:val="00BC352A"/>
    <w:rsid w:val="00BC414C"/>
    <w:rsid w:val="00BC4580"/>
    <w:rsid w:val="00BC5189"/>
    <w:rsid w:val="00BC5C1A"/>
    <w:rsid w:val="00BD24B6"/>
    <w:rsid w:val="00BD2580"/>
    <w:rsid w:val="00BD27AF"/>
    <w:rsid w:val="00BD4558"/>
    <w:rsid w:val="00BD4B4F"/>
    <w:rsid w:val="00BD760F"/>
    <w:rsid w:val="00BD789E"/>
    <w:rsid w:val="00BE013D"/>
    <w:rsid w:val="00BE0CB9"/>
    <w:rsid w:val="00BE1E9E"/>
    <w:rsid w:val="00BE25F5"/>
    <w:rsid w:val="00BE3818"/>
    <w:rsid w:val="00BE3FFA"/>
    <w:rsid w:val="00BE46F8"/>
    <w:rsid w:val="00BE5E27"/>
    <w:rsid w:val="00BE658B"/>
    <w:rsid w:val="00BF00EE"/>
    <w:rsid w:val="00BF20C4"/>
    <w:rsid w:val="00BF31F0"/>
    <w:rsid w:val="00BF3B77"/>
    <w:rsid w:val="00BF693D"/>
    <w:rsid w:val="00BF7977"/>
    <w:rsid w:val="00C00BA0"/>
    <w:rsid w:val="00C00CA4"/>
    <w:rsid w:val="00C01209"/>
    <w:rsid w:val="00C06172"/>
    <w:rsid w:val="00C065EE"/>
    <w:rsid w:val="00C1412F"/>
    <w:rsid w:val="00C144DC"/>
    <w:rsid w:val="00C1645A"/>
    <w:rsid w:val="00C17318"/>
    <w:rsid w:val="00C177DA"/>
    <w:rsid w:val="00C2170B"/>
    <w:rsid w:val="00C2247C"/>
    <w:rsid w:val="00C225CD"/>
    <w:rsid w:val="00C2280C"/>
    <w:rsid w:val="00C22C6B"/>
    <w:rsid w:val="00C23D3B"/>
    <w:rsid w:val="00C26C9F"/>
    <w:rsid w:val="00C30686"/>
    <w:rsid w:val="00C30F25"/>
    <w:rsid w:val="00C320B5"/>
    <w:rsid w:val="00C34BE3"/>
    <w:rsid w:val="00C359DE"/>
    <w:rsid w:val="00C35C7D"/>
    <w:rsid w:val="00C36949"/>
    <w:rsid w:val="00C40A4B"/>
    <w:rsid w:val="00C429CA"/>
    <w:rsid w:val="00C44FD5"/>
    <w:rsid w:val="00C471A4"/>
    <w:rsid w:val="00C47F16"/>
    <w:rsid w:val="00C53813"/>
    <w:rsid w:val="00C5723F"/>
    <w:rsid w:val="00C624F9"/>
    <w:rsid w:val="00C628BE"/>
    <w:rsid w:val="00C650F0"/>
    <w:rsid w:val="00C7333F"/>
    <w:rsid w:val="00C7464C"/>
    <w:rsid w:val="00C75C44"/>
    <w:rsid w:val="00C76C31"/>
    <w:rsid w:val="00C77C30"/>
    <w:rsid w:val="00C81C6E"/>
    <w:rsid w:val="00C83342"/>
    <w:rsid w:val="00C85A02"/>
    <w:rsid w:val="00C86260"/>
    <w:rsid w:val="00C86765"/>
    <w:rsid w:val="00C86796"/>
    <w:rsid w:val="00C869A6"/>
    <w:rsid w:val="00C86CB2"/>
    <w:rsid w:val="00C875CB"/>
    <w:rsid w:val="00C87C8B"/>
    <w:rsid w:val="00C91916"/>
    <w:rsid w:val="00C923E4"/>
    <w:rsid w:val="00C9263F"/>
    <w:rsid w:val="00C93443"/>
    <w:rsid w:val="00C93FB0"/>
    <w:rsid w:val="00C946ED"/>
    <w:rsid w:val="00C9490B"/>
    <w:rsid w:val="00C9510A"/>
    <w:rsid w:val="00C95F35"/>
    <w:rsid w:val="00C9689B"/>
    <w:rsid w:val="00C96C16"/>
    <w:rsid w:val="00CA0B06"/>
    <w:rsid w:val="00CA1281"/>
    <w:rsid w:val="00CA35D9"/>
    <w:rsid w:val="00CA54C7"/>
    <w:rsid w:val="00CA592C"/>
    <w:rsid w:val="00CA61B6"/>
    <w:rsid w:val="00CA62F4"/>
    <w:rsid w:val="00CA6930"/>
    <w:rsid w:val="00CA7BFB"/>
    <w:rsid w:val="00CB1935"/>
    <w:rsid w:val="00CB21AF"/>
    <w:rsid w:val="00CB35E4"/>
    <w:rsid w:val="00CB6F89"/>
    <w:rsid w:val="00CB7B47"/>
    <w:rsid w:val="00CC1551"/>
    <w:rsid w:val="00CC3774"/>
    <w:rsid w:val="00CC3AF0"/>
    <w:rsid w:val="00CC47C1"/>
    <w:rsid w:val="00CC6016"/>
    <w:rsid w:val="00CC682F"/>
    <w:rsid w:val="00CC6DC5"/>
    <w:rsid w:val="00CC73DC"/>
    <w:rsid w:val="00CC7B98"/>
    <w:rsid w:val="00CC7D94"/>
    <w:rsid w:val="00CD102C"/>
    <w:rsid w:val="00CD32CF"/>
    <w:rsid w:val="00CD4808"/>
    <w:rsid w:val="00CD5410"/>
    <w:rsid w:val="00CD726C"/>
    <w:rsid w:val="00CE065F"/>
    <w:rsid w:val="00CE135D"/>
    <w:rsid w:val="00CE1ABF"/>
    <w:rsid w:val="00CE6724"/>
    <w:rsid w:val="00CE6D39"/>
    <w:rsid w:val="00CE7FDB"/>
    <w:rsid w:val="00CF1999"/>
    <w:rsid w:val="00CF351E"/>
    <w:rsid w:val="00CF4A65"/>
    <w:rsid w:val="00D01640"/>
    <w:rsid w:val="00D01DF8"/>
    <w:rsid w:val="00D028F7"/>
    <w:rsid w:val="00D029EA"/>
    <w:rsid w:val="00D03057"/>
    <w:rsid w:val="00D03740"/>
    <w:rsid w:val="00D03E28"/>
    <w:rsid w:val="00D043E4"/>
    <w:rsid w:val="00D048BA"/>
    <w:rsid w:val="00D07558"/>
    <w:rsid w:val="00D107DB"/>
    <w:rsid w:val="00D10BEC"/>
    <w:rsid w:val="00D10C76"/>
    <w:rsid w:val="00D11270"/>
    <w:rsid w:val="00D1190B"/>
    <w:rsid w:val="00D1250C"/>
    <w:rsid w:val="00D16B87"/>
    <w:rsid w:val="00D20DDA"/>
    <w:rsid w:val="00D24770"/>
    <w:rsid w:val="00D24AE1"/>
    <w:rsid w:val="00D25DFD"/>
    <w:rsid w:val="00D26A47"/>
    <w:rsid w:val="00D26B4A"/>
    <w:rsid w:val="00D27780"/>
    <w:rsid w:val="00D3000E"/>
    <w:rsid w:val="00D30647"/>
    <w:rsid w:val="00D318D5"/>
    <w:rsid w:val="00D33DF3"/>
    <w:rsid w:val="00D35315"/>
    <w:rsid w:val="00D35E4F"/>
    <w:rsid w:val="00D417DF"/>
    <w:rsid w:val="00D41E7D"/>
    <w:rsid w:val="00D42452"/>
    <w:rsid w:val="00D43F31"/>
    <w:rsid w:val="00D45FAA"/>
    <w:rsid w:val="00D46968"/>
    <w:rsid w:val="00D546A4"/>
    <w:rsid w:val="00D5540E"/>
    <w:rsid w:val="00D56EF6"/>
    <w:rsid w:val="00D57BF2"/>
    <w:rsid w:val="00D60AB5"/>
    <w:rsid w:val="00D60F24"/>
    <w:rsid w:val="00D61493"/>
    <w:rsid w:val="00D6152E"/>
    <w:rsid w:val="00D61E37"/>
    <w:rsid w:val="00D620C3"/>
    <w:rsid w:val="00D6436C"/>
    <w:rsid w:val="00D6713B"/>
    <w:rsid w:val="00D70200"/>
    <w:rsid w:val="00D711CC"/>
    <w:rsid w:val="00D71349"/>
    <w:rsid w:val="00D71DD1"/>
    <w:rsid w:val="00D7453E"/>
    <w:rsid w:val="00D74BA9"/>
    <w:rsid w:val="00D8196E"/>
    <w:rsid w:val="00D828C9"/>
    <w:rsid w:val="00D829FF"/>
    <w:rsid w:val="00D8376C"/>
    <w:rsid w:val="00D9364B"/>
    <w:rsid w:val="00D947D2"/>
    <w:rsid w:val="00D94F08"/>
    <w:rsid w:val="00D94F34"/>
    <w:rsid w:val="00D9529F"/>
    <w:rsid w:val="00D96921"/>
    <w:rsid w:val="00D97A83"/>
    <w:rsid w:val="00D97EAA"/>
    <w:rsid w:val="00DA088C"/>
    <w:rsid w:val="00DA1A0F"/>
    <w:rsid w:val="00DA4AA4"/>
    <w:rsid w:val="00DA5255"/>
    <w:rsid w:val="00DA7998"/>
    <w:rsid w:val="00DB0B43"/>
    <w:rsid w:val="00DB171F"/>
    <w:rsid w:val="00DB1A27"/>
    <w:rsid w:val="00DB1DFC"/>
    <w:rsid w:val="00DB289D"/>
    <w:rsid w:val="00DB306C"/>
    <w:rsid w:val="00DB3174"/>
    <w:rsid w:val="00DB3D18"/>
    <w:rsid w:val="00DB51B1"/>
    <w:rsid w:val="00DB69A3"/>
    <w:rsid w:val="00DB6C98"/>
    <w:rsid w:val="00DB7449"/>
    <w:rsid w:val="00DC1AAD"/>
    <w:rsid w:val="00DC34DC"/>
    <w:rsid w:val="00DC3F24"/>
    <w:rsid w:val="00DC522B"/>
    <w:rsid w:val="00DC6E6C"/>
    <w:rsid w:val="00DD00D8"/>
    <w:rsid w:val="00DD2584"/>
    <w:rsid w:val="00DD2F07"/>
    <w:rsid w:val="00DD3596"/>
    <w:rsid w:val="00DD5CE8"/>
    <w:rsid w:val="00DD77BB"/>
    <w:rsid w:val="00DE1D49"/>
    <w:rsid w:val="00DE37E7"/>
    <w:rsid w:val="00DE54FB"/>
    <w:rsid w:val="00DE5510"/>
    <w:rsid w:val="00DE752B"/>
    <w:rsid w:val="00DE7F8D"/>
    <w:rsid w:val="00DF056C"/>
    <w:rsid w:val="00DF19E3"/>
    <w:rsid w:val="00DF227D"/>
    <w:rsid w:val="00DF4D74"/>
    <w:rsid w:val="00DF669F"/>
    <w:rsid w:val="00DF7B7D"/>
    <w:rsid w:val="00E00441"/>
    <w:rsid w:val="00E00F25"/>
    <w:rsid w:val="00E02E6A"/>
    <w:rsid w:val="00E03E6D"/>
    <w:rsid w:val="00E04FC7"/>
    <w:rsid w:val="00E06C3C"/>
    <w:rsid w:val="00E0780F"/>
    <w:rsid w:val="00E11CA2"/>
    <w:rsid w:val="00E15A7E"/>
    <w:rsid w:val="00E15DBF"/>
    <w:rsid w:val="00E173B6"/>
    <w:rsid w:val="00E17585"/>
    <w:rsid w:val="00E20B0F"/>
    <w:rsid w:val="00E2187D"/>
    <w:rsid w:val="00E239FC"/>
    <w:rsid w:val="00E24CFD"/>
    <w:rsid w:val="00E259DE"/>
    <w:rsid w:val="00E32B6B"/>
    <w:rsid w:val="00E34055"/>
    <w:rsid w:val="00E34D67"/>
    <w:rsid w:val="00E41EBC"/>
    <w:rsid w:val="00E42A16"/>
    <w:rsid w:val="00E43B60"/>
    <w:rsid w:val="00E4658F"/>
    <w:rsid w:val="00E46B17"/>
    <w:rsid w:val="00E542A9"/>
    <w:rsid w:val="00E55B6D"/>
    <w:rsid w:val="00E57650"/>
    <w:rsid w:val="00E578F3"/>
    <w:rsid w:val="00E57B1E"/>
    <w:rsid w:val="00E60D01"/>
    <w:rsid w:val="00E61025"/>
    <w:rsid w:val="00E62ADD"/>
    <w:rsid w:val="00E64855"/>
    <w:rsid w:val="00E64CC2"/>
    <w:rsid w:val="00E64EE3"/>
    <w:rsid w:val="00E66A6D"/>
    <w:rsid w:val="00E673D7"/>
    <w:rsid w:val="00E702C9"/>
    <w:rsid w:val="00E706DF"/>
    <w:rsid w:val="00E70D4F"/>
    <w:rsid w:val="00E71434"/>
    <w:rsid w:val="00E71B29"/>
    <w:rsid w:val="00E72C56"/>
    <w:rsid w:val="00E745DE"/>
    <w:rsid w:val="00E74ADE"/>
    <w:rsid w:val="00E755A6"/>
    <w:rsid w:val="00E803D5"/>
    <w:rsid w:val="00E812BD"/>
    <w:rsid w:val="00E81444"/>
    <w:rsid w:val="00E8219C"/>
    <w:rsid w:val="00E87350"/>
    <w:rsid w:val="00E9245B"/>
    <w:rsid w:val="00E937DB"/>
    <w:rsid w:val="00E940BB"/>
    <w:rsid w:val="00E9556C"/>
    <w:rsid w:val="00E96284"/>
    <w:rsid w:val="00E96C38"/>
    <w:rsid w:val="00E97D7F"/>
    <w:rsid w:val="00EA169F"/>
    <w:rsid w:val="00EA2063"/>
    <w:rsid w:val="00EA25D5"/>
    <w:rsid w:val="00EA3AC8"/>
    <w:rsid w:val="00EA4ED3"/>
    <w:rsid w:val="00EA51B8"/>
    <w:rsid w:val="00EA54EA"/>
    <w:rsid w:val="00EB14E8"/>
    <w:rsid w:val="00EB324E"/>
    <w:rsid w:val="00EB513A"/>
    <w:rsid w:val="00EB7B6D"/>
    <w:rsid w:val="00EC56E4"/>
    <w:rsid w:val="00EC7DF5"/>
    <w:rsid w:val="00ED17CB"/>
    <w:rsid w:val="00ED17F2"/>
    <w:rsid w:val="00ED1816"/>
    <w:rsid w:val="00ED266F"/>
    <w:rsid w:val="00ED4C96"/>
    <w:rsid w:val="00ED528A"/>
    <w:rsid w:val="00ED7957"/>
    <w:rsid w:val="00EE1A65"/>
    <w:rsid w:val="00EE4AE4"/>
    <w:rsid w:val="00EE5EC7"/>
    <w:rsid w:val="00EE68AC"/>
    <w:rsid w:val="00EE6E76"/>
    <w:rsid w:val="00EE7AAE"/>
    <w:rsid w:val="00EE7E31"/>
    <w:rsid w:val="00EF0BE4"/>
    <w:rsid w:val="00EF1A86"/>
    <w:rsid w:val="00EF29DE"/>
    <w:rsid w:val="00EF383D"/>
    <w:rsid w:val="00EF4A08"/>
    <w:rsid w:val="00EF62E9"/>
    <w:rsid w:val="00EF6B91"/>
    <w:rsid w:val="00EF6FDC"/>
    <w:rsid w:val="00F00135"/>
    <w:rsid w:val="00F0208C"/>
    <w:rsid w:val="00F0280E"/>
    <w:rsid w:val="00F10687"/>
    <w:rsid w:val="00F12A64"/>
    <w:rsid w:val="00F16533"/>
    <w:rsid w:val="00F16A85"/>
    <w:rsid w:val="00F17C39"/>
    <w:rsid w:val="00F20D04"/>
    <w:rsid w:val="00F24596"/>
    <w:rsid w:val="00F25A1C"/>
    <w:rsid w:val="00F30A78"/>
    <w:rsid w:val="00F321EB"/>
    <w:rsid w:val="00F35A73"/>
    <w:rsid w:val="00F35B92"/>
    <w:rsid w:val="00F424D6"/>
    <w:rsid w:val="00F45056"/>
    <w:rsid w:val="00F45D64"/>
    <w:rsid w:val="00F5282F"/>
    <w:rsid w:val="00F53D72"/>
    <w:rsid w:val="00F54E7A"/>
    <w:rsid w:val="00F5579B"/>
    <w:rsid w:val="00F56F81"/>
    <w:rsid w:val="00F62E7F"/>
    <w:rsid w:val="00F63111"/>
    <w:rsid w:val="00F63275"/>
    <w:rsid w:val="00F634BE"/>
    <w:rsid w:val="00F637F2"/>
    <w:rsid w:val="00F64966"/>
    <w:rsid w:val="00F6554C"/>
    <w:rsid w:val="00F71A89"/>
    <w:rsid w:val="00F72421"/>
    <w:rsid w:val="00F73DD3"/>
    <w:rsid w:val="00F75DB5"/>
    <w:rsid w:val="00F768B9"/>
    <w:rsid w:val="00F76D2E"/>
    <w:rsid w:val="00F76F35"/>
    <w:rsid w:val="00F770E3"/>
    <w:rsid w:val="00F80A27"/>
    <w:rsid w:val="00F81441"/>
    <w:rsid w:val="00F81AD5"/>
    <w:rsid w:val="00F81B37"/>
    <w:rsid w:val="00F8347A"/>
    <w:rsid w:val="00F83ABE"/>
    <w:rsid w:val="00F85D96"/>
    <w:rsid w:val="00F902CC"/>
    <w:rsid w:val="00F9032D"/>
    <w:rsid w:val="00F90C2B"/>
    <w:rsid w:val="00F92D01"/>
    <w:rsid w:val="00F936AB"/>
    <w:rsid w:val="00F93C35"/>
    <w:rsid w:val="00F9583A"/>
    <w:rsid w:val="00F971FB"/>
    <w:rsid w:val="00F97C1B"/>
    <w:rsid w:val="00FA2220"/>
    <w:rsid w:val="00FA55F0"/>
    <w:rsid w:val="00FA5772"/>
    <w:rsid w:val="00FA7B75"/>
    <w:rsid w:val="00FB3044"/>
    <w:rsid w:val="00FB305B"/>
    <w:rsid w:val="00FB5E39"/>
    <w:rsid w:val="00FC0B76"/>
    <w:rsid w:val="00FC2D3D"/>
    <w:rsid w:val="00FC51DF"/>
    <w:rsid w:val="00FC53FA"/>
    <w:rsid w:val="00FD1FE0"/>
    <w:rsid w:val="00FD2196"/>
    <w:rsid w:val="00FD234C"/>
    <w:rsid w:val="00FD26C9"/>
    <w:rsid w:val="00FD307E"/>
    <w:rsid w:val="00FD3BA2"/>
    <w:rsid w:val="00FD52AF"/>
    <w:rsid w:val="00FE00F3"/>
    <w:rsid w:val="00FE29ED"/>
    <w:rsid w:val="00FE5346"/>
    <w:rsid w:val="00FE66E8"/>
    <w:rsid w:val="00FE6F6B"/>
    <w:rsid w:val="00FF1CB9"/>
    <w:rsid w:val="00FF2B55"/>
    <w:rsid w:val="00FF4637"/>
    <w:rsid w:val="00FF6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4F26"/>
    <w:rPr>
      <w:rFonts w:ascii="Arial" w:hAnsi="Arial"/>
      <w:sz w:val="24"/>
      <w:szCs w:val="24"/>
    </w:rPr>
  </w:style>
  <w:style w:type="paragraph" w:styleId="Heading1">
    <w:name w:val="heading 1"/>
    <w:basedOn w:val="Normal"/>
    <w:next w:val="Normal"/>
    <w:qFormat/>
    <w:rsid w:val="007033B5"/>
    <w:pPr>
      <w:keepNext/>
      <w:ind w:left="2160" w:hanging="2160"/>
      <w:outlineLvl w:val="0"/>
    </w:pPr>
    <w:rPr>
      <w:u w:val="single"/>
    </w:rPr>
  </w:style>
  <w:style w:type="paragraph" w:styleId="Heading2">
    <w:name w:val="heading 2"/>
    <w:basedOn w:val="Normal"/>
    <w:next w:val="Normal"/>
    <w:qFormat/>
    <w:rsid w:val="007033B5"/>
    <w:pPr>
      <w:keepNext/>
      <w:spacing w:before="100" w:beforeAutospacing="1" w:after="100" w:afterAutospacing="1"/>
      <w:outlineLvl w:val="1"/>
    </w:pPr>
    <w:rPr>
      <w:b/>
      <w:bCs/>
    </w:rPr>
  </w:style>
  <w:style w:type="paragraph" w:styleId="Heading3">
    <w:name w:val="heading 3"/>
    <w:basedOn w:val="Normal"/>
    <w:next w:val="Normal"/>
    <w:link w:val="Heading3Char"/>
    <w:semiHidden/>
    <w:unhideWhenUsed/>
    <w:qFormat/>
    <w:rsid w:val="003C2CA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3C2CA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3C2CA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33B5"/>
    <w:pPr>
      <w:spacing w:before="100" w:beforeAutospacing="1" w:after="100" w:afterAutospacing="1"/>
    </w:pPr>
  </w:style>
  <w:style w:type="character" w:customStyle="1" w:styleId="Hyperlink44">
    <w:name w:val="Hyperlink44"/>
    <w:basedOn w:val="DefaultParagraphFont"/>
    <w:rsid w:val="007033B5"/>
    <w:rPr>
      <w:strike w:val="0"/>
      <w:dstrike w:val="0"/>
      <w:color w:val="0000FF"/>
      <w:u w:val="single"/>
      <w:effect w:val="none"/>
    </w:rPr>
  </w:style>
  <w:style w:type="paragraph" w:styleId="BodyTextIndent">
    <w:name w:val="Body Text Indent"/>
    <w:basedOn w:val="Normal"/>
    <w:rsid w:val="007033B5"/>
    <w:pPr>
      <w:ind w:left="2160" w:hanging="2160"/>
    </w:pPr>
  </w:style>
  <w:style w:type="paragraph" w:styleId="Header">
    <w:name w:val="header"/>
    <w:basedOn w:val="Normal"/>
    <w:rsid w:val="007033B5"/>
    <w:pPr>
      <w:tabs>
        <w:tab w:val="center" w:pos="4320"/>
        <w:tab w:val="right" w:pos="8640"/>
      </w:tabs>
    </w:pPr>
    <w:rPr>
      <w:szCs w:val="20"/>
    </w:rPr>
  </w:style>
  <w:style w:type="paragraph" w:customStyle="1" w:styleId="level2">
    <w:name w:val="_level2"/>
    <w:basedOn w:val="Normal"/>
    <w:rsid w:val="007033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szCs w:val="20"/>
    </w:rPr>
  </w:style>
  <w:style w:type="paragraph" w:styleId="BodyTextIndent2">
    <w:name w:val="Body Text Indent 2"/>
    <w:basedOn w:val="Normal"/>
    <w:rsid w:val="007033B5"/>
    <w:pPr>
      <w:ind w:left="2160" w:hanging="2160"/>
    </w:pPr>
    <w:rPr>
      <w:color w:val="000000"/>
      <w:szCs w:val="20"/>
    </w:rPr>
  </w:style>
  <w:style w:type="character" w:customStyle="1" w:styleId="Hypertext">
    <w:name w:val="Hypertext"/>
    <w:rsid w:val="007033B5"/>
    <w:rPr>
      <w:color w:val="0000FF"/>
      <w:u w:val="single"/>
    </w:rPr>
  </w:style>
  <w:style w:type="character" w:styleId="Hyperlink">
    <w:name w:val="Hyperlink"/>
    <w:basedOn w:val="DefaultParagraphFont"/>
    <w:uiPriority w:val="99"/>
    <w:rsid w:val="007033B5"/>
    <w:rPr>
      <w:color w:val="0000FF"/>
      <w:u w:val="single"/>
    </w:rPr>
  </w:style>
  <w:style w:type="paragraph" w:styleId="Index1">
    <w:name w:val="index 1"/>
    <w:basedOn w:val="Normal"/>
    <w:next w:val="Normal"/>
    <w:autoRedefine/>
    <w:semiHidden/>
    <w:rsid w:val="007033B5"/>
    <w:pPr>
      <w:ind w:left="200" w:hanging="200"/>
    </w:pPr>
    <w:rPr>
      <w:sz w:val="20"/>
      <w:szCs w:val="20"/>
    </w:rPr>
  </w:style>
  <w:style w:type="character" w:styleId="Strong">
    <w:name w:val="Strong"/>
    <w:basedOn w:val="DefaultParagraphFont"/>
    <w:uiPriority w:val="22"/>
    <w:qFormat/>
    <w:rsid w:val="007033B5"/>
    <w:rPr>
      <w:b/>
      <w:bCs/>
    </w:rPr>
  </w:style>
  <w:style w:type="character" w:styleId="Emphasis">
    <w:name w:val="Emphasis"/>
    <w:basedOn w:val="DefaultParagraphFont"/>
    <w:qFormat/>
    <w:rsid w:val="007033B5"/>
    <w:rPr>
      <w:i/>
      <w:iCs/>
    </w:rPr>
  </w:style>
  <w:style w:type="paragraph" w:styleId="BodyTextIndent3">
    <w:name w:val="Body Text Indent 3"/>
    <w:basedOn w:val="Normal"/>
    <w:rsid w:val="007033B5"/>
    <w:pPr>
      <w:spacing w:before="100" w:beforeAutospacing="1" w:after="100" w:afterAutospacing="1"/>
      <w:ind w:left="2160"/>
    </w:pPr>
    <w:rPr>
      <w:bCs/>
    </w:rPr>
  </w:style>
  <w:style w:type="table" w:styleId="TableGrid">
    <w:name w:val="Table Grid"/>
    <w:basedOn w:val="TableNormal"/>
    <w:uiPriority w:val="59"/>
    <w:rsid w:val="0051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231FD"/>
    <w:rPr>
      <w:rFonts w:ascii="Tahoma" w:hAnsi="Tahoma" w:cs="Tahoma"/>
      <w:sz w:val="16"/>
      <w:szCs w:val="16"/>
    </w:rPr>
  </w:style>
  <w:style w:type="character" w:styleId="CommentReference">
    <w:name w:val="annotation reference"/>
    <w:basedOn w:val="DefaultParagraphFont"/>
    <w:semiHidden/>
    <w:rsid w:val="003231FD"/>
    <w:rPr>
      <w:sz w:val="16"/>
      <w:szCs w:val="16"/>
    </w:rPr>
  </w:style>
  <w:style w:type="paragraph" w:styleId="CommentText">
    <w:name w:val="annotation text"/>
    <w:basedOn w:val="Normal"/>
    <w:semiHidden/>
    <w:rsid w:val="003231FD"/>
    <w:rPr>
      <w:sz w:val="20"/>
      <w:szCs w:val="20"/>
    </w:rPr>
  </w:style>
  <w:style w:type="paragraph" w:styleId="CommentSubject">
    <w:name w:val="annotation subject"/>
    <w:basedOn w:val="CommentText"/>
    <w:next w:val="CommentText"/>
    <w:semiHidden/>
    <w:rsid w:val="003231FD"/>
    <w:rPr>
      <w:b/>
      <w:bCs/>
    </w:rPr>
  </w:style>
  <w:style w:type="paragraph" w:styleId="Footer">
    <w:name w:val="footer"/>
    <w:basedOn w:val="Normal"/>
    <w:link w:val="FooterChar"/>
    <w:uiPriority w:val="99"/>
    <w:rsid w:val="00BE5E27"/>
    <w:pPr>
      <w:tabs>
        <w:tab w:val="center" w:pos="4680"/>
        <w:tab w:val="right" w:pos="9360"/>
      </w:tabs>
    </w:pPr>
  </w:style>
  <w:style w:type="character" w:customStyle="1" w:styleId="FooterChar">
    <w:name w:val="Footer Char"/>
    <w:basedOn w:val="DefaultParagraphFont"/>
    <w:link w:val="Footer"/>
    <w:uiPriority w:val="99"/>
    <w:rsid w:val="00BE5E27"/>
    <w:rPr>
      <w:rFonts w:ascii="Arial" w:hAnsi="Arial"/>
      <w:sz w:val="24"/>
      <w:szCs w:val="24"/>
    </w:rPr>
  </w:style>
  <w:style w:type="character" w:customStyle="1" w:styleId="FooterChar1">
    <w:name w:val="Footer Char1"/>
    <w:basedOn w:val="DefaultParagraphFont"/>
    <w:uiPriority w:val="99"/>
    <w:locked/>
    <w:rsid w:val="00BE5E27"/>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457750"/>
    <w:rPr>
      <w:rFonts w:ascii="Cambria" w:eastAsia="Cambria" w:hAnsi="Cambria" w:cs="Arial"/>
    </w:rPr>
  </w:style>
  <w:style w:type="character" w:customStyle="1" w:styleId="FootnoteTextChar">
    <w:name w:val="Footnote Text Char"/>
    <w:basedOn w:val="DefaultParagraphFont"/>
    <w:link w:val="FootnoteText"/>
    <w:uiPriority w:val="99"/>
    <w:rsid w:val="00457750"/>
    <w:rPr>
      <w:rFonts w:ascii="Cambria" w:eastAsia="Cambria" w:hAnsi="Cambria" w:cs="Arial"/>
      <w:sz w:val="24"/>
      <w:szCs w:val="24"/>
    </w:rPr>
  </w:style>
  <w:style w:type="character" w:styleId="FootnoteReference">
    <w:name w:val="footnote reference"/>
    <w:basedOn w:val="DefaultParagraphFont"/>
    <w:uiPriority w:val="99"/>
    <w:rsid w:val="00457750"/>
    <w:rPr>
      <w:rFonts w:cs="Times New Roman"/>
      <w:vertAlign w:val="superscript"/>
    </w:rPr>
  </w:style>
  <w:style w:type="paragraph" w:styleId="ListParagraph">
    <w:name w:val="List Paragraph"/>
    <w:basedOn w:val="Normal"/>
    <w:uiPriority w:val="34"/>
    <w:qFormat/>
    <w:rsid w:val="005F1E68"/>
    <w:pPr>
      <w:contextualSpacing/>
    </w:pPr>
  </w:style>
  <w:style w:type="paragraph" w:customStyle="1" w:styleId="Default1LTGliederung1">
    <w:name w:val="Default 1~LT~Gliederung 1"/>
    <w:rsid w:val="009E68B2"/>
    <w:pPr>
      <w:widowControl w:val="0"/>
      <w:suppressAutoHyphens/>
      <w:autoSpaceDE w:val="0"/>
      <w:spacing w:after="283"/>
    </w:pPr>
    <w:rPr>
      <w:rFonts w:ascii="DejaVu Sans" w:eastAsia="DejaVu Sans" w:hAnsi="DejaVu Sans" w:cs="DejaVu Sans"/>
      <w:color w:val="40458C"/>
      <w:kern w:val="1"/>
      <w:sz w:val="64"/>
      <w:szCs w:val="64"/>
      <w:lang w:eastAsia="hi-IN" w:bidi="hi-IN"/>
    </w:rPr>
  </w:style>
  <w:style w:type="paragraph" w:styleId="HTMLPreformatted">
    <w:name w:val="HTML Preformatted"/>
    <w:basedOn w:val="Normal"/>
    <w:link w:val="HTMLPreformattedChar"/>
    <w:uiPriority w:val="99"/>
    <w:unhideWhenUsed/>
    <w:rsid w:val="00C32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320B5"/>
    <w:rPr>
      <w:rFonts w:ascii="Courier New" w:hAnsi="Courier New" w:cs="Courier New"/>
    </w:rPr>
  </w:style>
  <w:style w:type="paragraph" w:customStyle="1" w:styleId="Default">
    <w:name w:val="Default"/>
    <w:rsid w:val="00F53D72"/>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rsid w:val="00467AC1"/>
    <w:rPr>
      <w:color w:val="800080" w:themeColor="followedHyperlink"/>
      <w:u w:val="single"/>
    </w:rPr>
  </w:style>
  <w:style w:type="character" w:customStyle="1" w:styleId="apple-style-span">
    <w:name w:val="apple-style-span"/>
    <w:basedOn w:val="DefaultParagraphFont"/>
    <w:rsid w:val="007C563C"/>
  </w:style>
  <w:style w:type="paragraph" w:styleId="PlainText">
    <w:name w:val="Plain Text"/>
    <w:basedOn w:val="Normal"/>
    <w:link w:val="PlainTextChar"/>
    <w:uiPriority w:val="99"/>
    <w:unhideWhenUsed/>
    <w:rsid w:val="00542BE2"/>
    <w:rPr>
      <w:rFonts w:eastAsia="Calibri" w:cs="Arial"/>
      <w:sz w:val="20"/>
      <w:szCs w:val="20"/>
    </w:rPr>
  </w:style>
  <w:style w:type="character" w:customStyle="1" w:styleId="PlainTextChar">
    <w:name w:val="Plain Text Char"/>
    <w:basedOn w:val="DefaultParagraphFont"/>
    <w:link w:val="PlainText"/>
    <w:uiPriority w:val="99"/>
    <w:rsid w:val="00542BE2"/>
    <w:rPr>
      <w:rFonts w:ascii="Arial" w:eastAsia="Calibri" w:hAnsi="Arial" w:cs="Arial"/>
    </w:rPr>
  </w:style>
  <w:style w:type="character" w:customStyle="1" w:styleId="details">
    <w:name w:val="details"/>
    <w:basedOn w:val="DefaultParagraphFont"/>
    <w:rsid w:val="00C91916"/>
  </w:style>
  <w:style w:type="paragraph" w:styleId="Revision">
    <w:name w:val="Revision"/>
    <w:hidden/>
    <w:uiPriority w:val="99"/>
    <w:semiHidden/>
    <w:rsid w:val="00D24AE1"/>
    <w:rPr>
      <w:rFonts w:ascii="Arial" w:hAnsi="Arial"/>
      <w:sz w:val="24"/>
      <w:szCs w:val="24"/>
    </w:rPr>
  </w:style>
  <w:style w:type="character" w:customStyle="1" w:styleId="apple-converted-space">
    <w:name w:val="apple-converted-space"/>
    <w:basedOn w:val="DefaultParagraphFont"/>
    <w:rsid w:val="00222810"/>
  </w:style>
  <w:style w:type="character" w:customStyle="1" w:styleId="Heading3Char">
    <w:name w:val="Heading 3 Char"/>
    <w:basedOn w:val="DefaultParagraphFont"/>
    <w:link w:val="Heading3"/>
    <w:semiHidden/>
    <w:rsid w:val="003C2CA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3C2CAB"/>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3C2CAB"/>
    <w:rPr>
      <w:rFonts w:asciiTheme="majorHAnsi" w:eastAsiaTheme="majorEastAsia" w:hAnsiTheme="majorHAnsi" w:cstheme="majorBidi"/>
      <w:color w:val="243F60" w:themeColor="accent1" w:themeShade="7F"/>
      <w:sz w:val="24"/>
      <w:szCs w:val="24"/>
    </w:rPr>
  </w:style>
  <w:style w:type="character" w:styleId="IntenseEmphasis">
    <w:name w:val="Intense Emphasis"/>
    <w:basedOn w:val="DefaultParagraphFont"/>
    <w:uiPriority w:val="21"/>
    <w:qFormat/>
    <w:rsid w:val="00BA0DF6"/>
    <w:rPr>
      <w:b/>
      <w:bCs/>
      <w:i/>
      <w:iCs/>
      <w:color w:val="4F81BD" w:themeColor="accent1"/>
    </w:rPr>
  </w:style>
  <w:style w:type="paragraph" w:styleId="TOCHeading">
    <w:name w:val="TOC Heading"/>
    <w:basedOn w:val="Heading1"/>
    <w:next w:val="Normal"/>
    <w:uiPriority w:val="39"/>
    <w:semiHidden/>
    <w:unhideWhenUsed/>
    <w:qFormat/>
    <w:rsid w:val="00D27780"/>
    <w:pPr>
      <w:keepLines/>
      <w:spacing w:before="480" w:line="276" w:lineRule="auto"/>
      <w:ind w:left="0" w:firstLine="0"/>
      <w:outlineLvl w:val="9"/>
    </w:pPr>
    <w:rPr>
      <w:rFonts w:asciiTheme="majorHAnsi" w:eastAsiaTheme="majorEastAsia" w:hAnsiTheme="majorHAnsi" w:cstheme="majorBidi"/>
      <w:b/>
      <w:bCs/>
      <w:color w:val="365F91" w:themeColor="accent1" w:themeShade="BF"/>
      <w:sz w:val="28"/>
      <w:szCs w:val="28"/>
      <w:u w:val="none"/>
      <w:lang w:eastAsia="ja-JP"/>
    </w:rPr>
  </w:style>
  <w:style w:type="paragraph" w:styleId="TOC2">
    <w:name w:val="toc 2"/>
    <w:basedOn w:val="Normal"/>
    <w:next w:val="Normal"/>
    <w:autoRedefine/>
    <w:uiPriority w:val="39"/>
    <w:rsid w:val="00D27780"/>
    <w:pPr>
      <w:spacing w:after="100"/>
      <w:ind w:left="240"/>
    </w:pPr>
  </w:style>
  <w:style w:type="paragraph" w:styleId="Quote">
    <w:name w:val="Quote"/>
    <w:basedOn w:val="Normal"/>
    <w:next w:val="Normal"/>
    <w:link w:val="QuoteChar"/>
    <w:uiPriority w:val="29"/>
    <w:qFormat/>
    <w:rsid w:val="00CB35E4"/>
    <w:rPr>
      <w:i/>
      <w:iCs/>
      <w:color w:val="000000" w:themeColor="text1"/>
    </w:rPr>
  </w:style>
  <w:style w:type="character" w:customStyle="1" w:styleId="QuoteChar">
    <w:name w:val="Quote Char"/>
    <w:basedOn w:val="DefaultParagraphFont"/>
    <w:link w:val="Quote"/>
    <w:uiPriority w:val="29"/>
    <w:rsid w:val="00CB35E4"/>
    <w:rPr>
      <w:rFonts w:ascii="Arial" w:hAnsi="Arial"/>
      <w:i/>
      <w:iCs/>
      <w:color w:val="000000" w:themeColor="text1"/>
      <w:sz w:val="24"/>
      <w:szCs w:val="24"/>
    </w:rPr>
  </w:style>
  <w:style w:type="paragraph" w:styleId="NoSpacing">
    <w:name w:val="No Spacing"/>
    <w:uiPriority w:val="1"/>
    <w:qFormat/>
    <w:rsid w:val="00B965BE"/>
    <w:rPr>
      <w:rFonts w:ascii="Arial" w:hAnsi="Arial"/>
      <w:sz w:val="24"/>
      <w:szCs w:val="24"/>
    </w:rPr>
  </w:style>
  <w:style w:type="paragraph" w:styleId="Caption">
    <w:name w:val="caption"/>
    <w:basedOn w:val="Normal"/>
    <w:next w:val="Normal"/>
    <w:unhideWhenUsed/>
    <w:qFormat/>
    <w:rsid w:val="008B1846"/>
    <w:pPr>
      <w:spacing w:after="200"/>
    </w:pPr>
    <w:rPr>
      <w:b/>
      <w:bCs/>
      <w:color w:val="4F81BD" w:themeColor="accent1"/>
      <w:sz w:val="18"/>
      <w:szCs w:val="18"/>
    </w:rPr>
  </w:style>
  <w:style w:type="character" w:styleId="SubtleEmphasis">
    <w:name w:val="Subtle Emphasis"/>
    <w:basedOn w:val="DefaultParagraphFont"/>
    <w:uiPriority w:val="19"/>
    <w:qFormat/>
    <w:rsid w:val="00467B3A"/>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4F26"/>
    <w:rPr>
      <w:rFonts w:ascii="Arial" w:hAnsi="Arial"/>
      <w:sz w:val="24"/>
      <w:szCs w:val="24"/>
    </w:rPr>
  </w:style>
  <w:style w:type="paragraph" w:styleId="Heading1">
    <w:name w:val="heading 1"/>
    <w:basedOn w:val="Normal"/>
    <w:next w:val="Normal"/>
    <w:qFormat/>
    <w:rsid w:val="007033B5"/>
    <w:pPr>
      <w:keepNext/>
      <w:ind w:left="2160" w:hanging="2160"/>
      <w:outlineLvl w:val="0"/>
    </w:pPr>
    <w:rPr>
      <w:u w:val="single"/>
    </w:rPr>
  </w:style>
  <w:style w:type="paragraph" w:styleId="Heading2">
    <w:name w:val="heading 2"/>
    <w:basedOn w:val="Normal"/>
    <w:next w:val="Normal"/>
    <w:qFormat/>
    <w:rsid w:val="007033B5"/>
    <w:pPr>
      <w:keepNext/>
      <w:spacing w:before="100" w:beforeAutospacing="1" w:after="100" w:afterAutospacing="1"/>
      <w:outlineLvl w:val="1"/>
    </w:pPr>
    <w:rPr>
      <w:b/>
      <w:bCs/>
    </w:rPr>
  </w:style>
  <w:style w:type="paragraph" w:styleId="Heading3">
    <w:name w:val="heading 3"/>
    <w:basedOn w:val="Normal"/>
    <w:next w:val="Normal"/>
    <w:link w:val="Heading3Char"/>
    <w:semiHidden/>
    <w:unhideWhenUsed/>
    <w:qFormat/>
    <w:rsid w:val="003C2CA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3C2CA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3C2CA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33B5"/>
    <w:pPr>
      <w:spacing w:before="100" w:beforeAutospacing="1" w:after="100" w:afterAutospacing="1"/>
    </w:pPr>
  </w:style>
  <w:style w:type="character" w:customStyle="1" w:styleId="Hyperlink44">
    <w:name w:val="Hyperlink44"/>
    <w:basedOn w:val="DefaultParagraphFont"/>
    <w:rsid w:val="007033B5"/>
    <w:rPr>
      <w:strike w:val="0"/>
      <w:dstrike w:val="0"/>
      <w:color w:val="0000FF"/>
      <w:u w:val="single"/>
      <w:effect w:val="none"/>
    </w:rPr>
  </w:style>
  <w:style w:type="paragraph" w:styleId="BodyTextIndent">
    <w:name w:val="Body Text Indent"/>
    <w:basedOn w:val="Normal"/>
    <w:rsid w:val="007033B5"/>
    <w:pPr>
      <w:ind w:left="2160" w:hanging="2160"/>
    </w:pPr>
  </w:style>
  <w:style w:type="paragraph" w:styleId="Header">
    <w:name w:val="header"/>
    <w:basedOn w:val="Normal"/>
    <w:rsid w:val="007033B5"/>
    <w:pPr>
      <w:tabs>
        <w:tab w:val="center" w:pos="4320"/>
        <w:tab w:val="right" w:pos="8640"/>
      </w:tabs>
    </w:pPr>
    <w:rPr>
      <w:szCs w:val="20"/>
    </w:rPr>
  </w:style>
  <w:style w:type="paragraph" w:customStyle="1" w:styleId="level2">
    <w:name w:val="_level2"/>
    <w:basedOn w:val="Normal"/>
    <w:rsid w:val="007033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szCs w:val="20"/>
    </w:rPr>
  </w:style>
  <w:style w:type="paragraph" w:styleId="BodyTextIndent2">
    <w:name w:val="Body Text Indent 2"/>
    <w:basedOn w:val="Normal"/>
    <w:rsid w:val="007033B5"/>
    <w:pPr>
      <w:ind w:left="2160" w:hanging="2160"/>
    </w:pPr>
    <w:rPr>
      <w:color w:val="000000"/>
      <w:szCs w:val="20"/>
    </w:rPr>
  </w:style>
  <w:style w:type="character" w:customStyle="1" w:styleId="Hypertext">
    <w:name w:val="Hypertext"/>
    <w:rsid w:val="007033B5"/>
    <w:rPr>
      <w:color w:val="0000FF"/>
      <w:u w:val="single"/>
    </w:rPr>
  </w:style>
  <w:style w:type="character" w:styleId="Hyperlink">
    <w:name w:val="Hyperlink"/>
    <w:basedOn w:val="DefaultParagraphFont"/>
    <w:uiPriority w:val="99"/>
    <w:rsid w:val="007033B5"/>
    <w:rPr>
      <w:color w:val="0000FF"/>
      <w:u w:val="single"/>
    </w:rPr>
  </w:style>
  <w:style w:type="paragraph" w:styleId="Index1">
    <w:name w:val="index 1"/>
    <w:basedOn w:val="Normal"/>
    <w:next w:val="Normal"/>
    <w:autoRedefine/>
    <w:semiHidden/>
    <w:rsid w:val="007033B5"/>
    <w:pPr>
      <w:ind w:left="200" w:hanging="200"/>
    </w:pPr>
    <w:rPr>
      <w:sz w:val="20"/>
      <w:szCs w:val="20"/>
    </w:rPr>
  </w:style>
  <w:style w:type="character" w:styleId="Strong">
    <w:name w:val="Strong"/>
    <w:basedOn w:val="DefaultParagraphFont"/>
    <w:uiPriority w:val="22"/>
    <w:qFormat/>
    <w:rsid w:val="007033B5"/>
    <w:rPr>
      <w:b/>
      <w:bCs/>
    </w:rPr>
  </w:style>
  <w:style w:type="character" w:styleId="Emphasis">
    <w:name w:val="Emphasis"/>
    <w:basedOn w:val="DefaultParagraphFont"/>
    <w:qFormat/>
    <w:rsid w:val="007033B5"/>
    <w:rPr>
      <w:i/>
      <w:iCs/>
    </w:rPr>
  </w:style>
  <w:style w:type="paragraph" w:styleId="BodyTextIndent3">
    <w:name w:val="Body Text Indent 3"/>
    <w:basedOn w:val="Normal"/>
    <w:rsid w:val="007033B5"/>
    <w:pPr>
      <w:spacing w:before="100" w:beforeAutospacing="1" w:after="100" w:afterAutospacing="1"/>
      <w:ind w:left="2160"/>
    </w:pPr>
    <w:rPr>
      <w:bCs/>
    </w:rPr>
  </w:style>
  <w:style w:type="table" w:styleId="TableGrid">
    <w:name w:val="Table Grid"/>
    <w:basedOn w:val="TableNormal"/>
    <w:uiPriority w:val="59"/>
    <w:rsid w:val="0051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231FD"/>
    <w:rPr>
      <w:rFonts w:ascii="Tahoma" w:hAnsi="Tahoma" w:cs="Tahoma"/>
      <w:sz w:val="16"/>
      <w:szCs w:val="16"/>
    </w:rPr>
  </w:style>
  <w:style w:type="character" w:styleId="CommentReference">
    <w:name w:val="annotation reference"/>
    <w:basedOn w:val="DefaultParagraphFont"/>
    <w:semiHidden/>
    <w:rsid w:val="003231FD"/>
    <w:rPr>
      <w:sz w:val="16"/>
      <w:szCs w:val="16"/>
    </w:rPr>
  </w:style>
  <w:style w:type="paragraph" w:styleId="CommentText">
    <w:name w:val="annotation text"/>
    <w:basedOn w:val="Normal"/>
    <w:semiHidden/>
    <w:rsid w:val="003231FD"/>
    <w:rPr>
      <w:sz w:val="20"/>
      <w:szCs w:val="20"/>
    </w:rPr>
  </w:style>
  <w:style w:type="paragraph" w:styleId="CommentSubject">
    <w:name w:val="annotation subject"/>
    <w:basedOn w:val="CommentText"/>
    <w:next w:val="CommentText"/>
    <w:semiHidden/>
    <w:rsid w:val="003231FD"/>
    <w:rPr>
      <w:b/>
      <w:bCs/>
    </w:rPr>
  </w:style>
  <w:style w:type="paragraph" w:styleId="Footer">
    <w:name w:val="footer"/>
    <w:basedOn w:val="Normal"/>
    <w:link w:val="FooterChar"/>
    <w:uiPriority w:val="99"/>
    <w:rsid w:val="00BE5E27"/>
    <w:pPr>
      <w:tabs>
        <w:tab w:val="center" w:pos="4680"/>
        <w:tab w:val="right" w:pos="9360"/>
      </w:tabs>
    </w:pPr>
  </w:style>
  <w:style w:type="character" w:customStyle="1" w:styleId="FooterChar">
    <w:name w:val="Footer Char"/>
    <w:basedOn w:val="DefaultParagraphFont"/>
    <w:link w:val="Footer"/>
    <w:uiPriority w:val="99"/>
    <w:rsid w:val="00BE5E27"/>
    <w:rPr>
      <w:rFonts w:ascii="Arial" w:hAnsi="Arial"/>
      <w:sz w:val="24"/>
      <w:szCs w:val="24"/>
    </w:rPr>
  </w:style>
  <w:style w:type="character" w:customStyle="1" w:styleId="FooterChar1">
    <w:name w:val="Footer Char1"/>
    <w:basedOn w:val="DefaultParagraphFont"/>
    <w:uiPriority w:val="99"/>
    <w:locked/>
    <w:rsid w:val="00BE5E27"/>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457750"/>
    <w:rPr>
      <w:rFonts w:ascii="Cambria" w:eastAsia="Cambria" w:hAnsi="Cambria" w:cs="Arial"/>
    </w:rPr>
  </w:style>
  <w:style w:type="character" w:customStyle="1" w:styleId="FootnoteTextChar">
    <w:name w:val="Footnote Text Char"/>
    <w:basedOn w:val="DefaultParagraphFont"/>
    <w:link w:val="FootnoteText"/>
    <w:uiPriority w:val="99"/>
    <w:rsid w:val="00457750"/>
    <w:rPr>
      <w:rFonts w:ascii="Cambria" w:eastAsia="Cambria" w:hAnsi="Cambria" w:cs="Arial"/>
      <w:sz w:val="24"/>
      <w:szCs w:val="24"/>
    </w:rPr>
  </w:style>
  <w:style w:type="character" w:styleId="FootnoteReference">
    <w:name w:val="footnote reference"/>
    <w:basedOn w:val="DefaultParagraphFont"/>
    <w:uiPriority w:val="99"/>
    <w:rsid w:val="00457750"/>
    <w:rPr>
      <w:rFonts w:cs="Times New Roman"/>
      <w:vertAlign w:val="superscript"/>
    </w:rPr>
  </w:style>
  <w:style w:type="paragraph" w:styleId="ListParagraph">
    <w:name w:val="List Paragraph"/>
    <w:basedOn w:val="Normal"/>
    <w:uiPriority w:val="34"/>
    <w:qFormat/>
    <w:rsid w:val="005F1E68"/>
    <w:pPr>
      <w:contextualSpacing/>
    </w:pPr>
  </w:style>
  <w:style w:type="paragraph" w:customStyle="1" w:styleId="Default1LTGliederung1">
    <w:name w:val="Default 1~LT~Gliederung 1"/>
    <w:rsid w:val="009E68B2"/>
    <w:pPr>
      <w:widowControl w:val="0"/>
      <w:suppressAutoHyphens/>
      <w:autoSpaceDE w:val="0"/>
      <w:spacing w:after="283"/>
    </w:pPr>
    <w:rPr>
      <w:rFonts w:ascii="DejaVu Sans" w:eastAsia="DejaVu Sans" w:hAnsi="DejaVu Sans" w:cs="DejaVu Sans"/>
      <w:color w:val="40458C"/>
      <w:kern w:val="1"/>
      <w:sz w:val="64"/>
      <w:szCs w:val="64"/>
      <w:lang w:eastAsia="hi-IN" w:bidi="hi-IN"/>
    </w:rPr>
  </w:style>
  <w:style w:type="paragraph" w:styleId="HTMLPreformatted">
    <w:name w:val="HTML Preformatted"/>
    <w:basedOn w:val="Normal"/>
    <w:link w:val="HTMLPreformattedChar"/>
    <w:uiPriority w:val="99"/>
    <w:unhideWhenUsed/>
    <w:rsid w:val="00C32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320B5"/>
    <w:rPr>
      <w:rFonts w:ascii="Courier New" w:hAnsi="Courier New" w:cs="Courier New"/>
    </w:rPr>
  </w:style>
  <w:style w:type="paragraph" w:customStyle="1" w:styleId="Default">
    <w:name w:val="Default"/>
    <w:rsid w:val="00F53D72"/>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rsid w:val="00467AC1"/>
    <w:rPr>
      <w:color w:val="800080" w:themeColor="followedHyperlink"/>
      <w:u w:val="single"/>
    </w:rPr>
  </w:style>
  <w:style w:type="character" w:customStyle="1" w:styleId="apple-style-span">
    <w:name w:val="apple-style-span"/>
    <w:basedOn w:val="DefaultParagraphFont"/>
    <w:rsid w:val="007C563C"/>
  </w:style>
  <w:style w:type="paragraph" w:styleId="PlainText">
    <w:name w:val="Plain Text"/>
    <w:basedOn w:val="Normal"/>
    <w:link w:val="PlainTextChar"/>
    <w:uiPriority w:val="99"/>
    <w:unhideWhenUsed/>
    <w:rsid w:val="00542BE2"/>
    <w:rPr>
      <w:rFonts w:eastAsia="Calibri" w:cs="Arial"/>
      <w:sz w:val="20"/>
      <w:szCs w:val="20"/>
    </w:rPr>
  </w:style>
  <w:style w:type="character" w:customStyle="1" w:styleId="PlainTextChar">
    <w:name w:val="Plain Text Char"/>
    <w:basedOn w:val="DefaultParagraphFont"/>
    <w:link w:val="PlainText"/>
    <w:uiPriority w:val="99"/>
    <w:rsid w:val="00542BE2"/>
    <w:rPr>
      <w:rFonts w:ascii="Arial" w:eastAsia="Calibri" w:hAnsi="Arial" w:cs="Arial"/>
    </w:rPr>
  </w:style>
  <w:style w:type="character" w:customStyle="1" w:styleId="details">
    <w:name w:val="details"/>
    <w:basedOn w:val="DefaultParagraphFont"/>
    <w:rsid w:val="00C91916"/>
  </w:style>
  <w:style w:type="paragraph" w:styleId="Revision">
    <w:name w:val="Revision"/>
    <w:hidden/>
    <w:uiPriority w:val="99"/>
    <w:semiHidden/>
    <w:rsid w:val="00D24AE1"/>
    <w:rPr>
      <w:rFonts w:ascii="Arial" w:hAnsi="Arial"/>
      <w:sz w:val="24"/>
      <w:szCs w:val="24"/>
    </w:rPr>
  </w:style>
  <w:style w:type="character" w:customStyle="1" w:styleId="apple-converted-space">
    <w:name w:val="apple-converted-space"/>
    <w:basedOn w:val="DefaultParagraphFont"/>
    <w:rsid w:val="00222810"/>
  </w:style>
  <w:style w:type="character" w:customStyle="1" w:styleId="Heading3Char">
    <w:name w:val="Heading 3 Char"/>
    <w:basedOn w:val="DefaultParagraphFont"/>
    <w:link w:val="Heading3"/>
    <w:semiHidden/>
    <w:rsid w:val="003C2CA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3C2CAB"/>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3C2CAB"/>
    <w:rPr>
      <w:rFonts w:asciiTheme="majorHAnsi" w:eastAsiaTheme="majorEastAsia" w:hAnsiTheme="majorHAnsi" w:cstheme="majorBidi"/>
      <w:color w:val="243F60" w:themeColor="accent1" w:themeShade="7F"/>
      <w:sz w:val="24"/>
      <w:szCs w:val="24"/>
    </w:rPr>
  </w:style>
  <w:style w:type="character" w:styleId="IntenseEmphasis">
    <w:name w:val="Intense Emphasis"/>
    <w:basedOn w:val="DefaultParagraphFont"/>
    <w:uiPriority w:val="21"/>
    <w:qFormat/>
    <w:rsid w:val="00BA0DF6"/>
    <w:rPr>
      <w:b/>
      <w:bCs/>
      <w:i/>
      <w:iCs/>
      <w:color w:val="4F81BD" w:themeColor="accent1"/>
    </w:rPr>
  </w:style>
  <w:style w:type="paragraph" w:styleId="TOCHeading">
    <w:name w:val="TOC Heading"/>
    <w:basedOn w:val="Heading1"/>
    <w:next w:val="Normal"/>
    <w:uiPriority w:val="39"/>
    <w:semiHidden/>
    <w:unhideWhenUsed/>
    <w:qFormat/>
    <w:rsid w:val="00D27780"/>
    <w:pPr>
      <w:keepLines/>
      <w:spacing w:before="480" w:line="276" w:lineRule="auto"/>
      <w:ind w:left="0" w:firstLine="0"/>
      <w:outlineLvl w:val="9"/>
    </w:pPr>
    <w:rPr>
      <w:rFonts w:asciiTheme="majorHAnsi" w:eastAsiaTheme="majorEastAsia" w:hAnsiTheme="majorHAnsi" w:cstheme="majorBidi"/>
      <w:b/>
      <w:bCs/>
      <w:color w:val="365F91" w:themeColor="accent1" w:themeShade="BF"/>
      <w:sz w:val="28"/>
      <w:szCs w:val="28"/>
      <w:u w:val="none"/>
      <w:lang w:eastAsia="ja-JP"/>
    </w:rPr>
  </w:style>
  <w:style w:type="paragraph" w:styleId="TOC2">
    <w:name w:val="toc 2"/>
    <w:basedOn w:val="Normal"/>
    <w:next w:val="Normal"/>
    <w:autoRedefine/>
    <w:uiPriority w:val="39"/>
    <w:rsid w:val="00D27780"/>
    <w:pPr>
      <w:spacing w:after="100"/>
      <w:ind w:left="240"/>
    </w:pPr>
  </w:style>
  <w:style w:type="paragraph" w:styleId="Quote">
    <w:name w:val="Quote"/>
    <w:basedOn w:val="Normal"/>
    <w:next w:val="Normal"/>
    <w:link w:val="QuoteChar"/>
    <w:uiPriority w:val="29"/>
    <w:qFormat/>
    <w:rsid w:val="00CB35E4"/>
    <w:rPr>
      <w:i/>
      <w:iCs/>
      <w:color w:val="000000" w:themeColor="text1"/>
    </w:rPr>
  </w:style>
  <w:style w:type="character" w:customStyle="1" w:styleId="QuoteChar">
    <w:name w:val="Quote Char"/>
    <w:basedOn w:val="DefaultParagraphFont"/>
    <w:link w:val="Quote"/>
    <w:uiPriority w:val="29"/>
    <w:rsid w:val="00CB35E4"/>
    <w:rPr>
      <w:rFonts w:ascii="Arial" w:hAnsi="Arial"/>
      <w:i/>
      <w:iCs/>
      <w:color w:val="000000" w:themeColor="text1"/>
      <w:sz w:val="24"/>
      <w:szCs w:val="24"/>
    </w:rPr>
  </w:style>
  <w:style w:type="paragraph" w:styleId="NoSpacing">
    <w:name w:val="No Spacing"/>
    <w:uiPriority w:val="1"/>
    <w:qFormat/>
    <w:rsid w:val="00B965BE"/>
    <w:rPr>
      <w:rFonts w:ascii="Arial" w:hAnsi="Arial"/>
      <w:sz w:val="24"/>
      <w:szCs w:val="24"/>
    </w:rPr>
  </w:style>
  <w:style w:type="paragraph" w:styleId="Caption">
    <w:name w:val="caption"/>
    <w:basedOn w:val="Normal"/>
    <w:next w:val="Normal"/>
    <w:unhideWhenUsed/>
    <w:qFormat/>
    <w:rsid w:val="008B1846"/>
    <w:pPr>
      <w:spacing w:after="200"/>
    </w:pPr>
    <w:rPr>
      <w:b/>
      <w:bCs/>
      <w:color w:val="4F81BD" w:themeColor="accent1"/>
      <w:sz w:val="18"/>
      <w:szCs w:val="18"/>
    </w:rPr>
  </w:style>
  <w:style w:type="character" w:styleId="SubtleEmphasis">
    <w:name w:val="Subtle Emphasis"/>
    <w:basedOn w:val="DefaultParagraphFont"/>
    <w:uiPriority w:val="19"/>
    <w:qFormat/>
    <w:rsid w:val="00467B3A"/>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3816">
      <w:bodyDiv w:val="1"/>
      <w:marLeft w:val="0"/>
      <w:marRight w:val="0"/>
      <w:marTop w:val="0"/>
      <w:marBottom w:val="0"/>
      <w:divBdr>
        <w:top w:val="none" w:sz="0" w:space="0" w:color="auto"/>
        <w:left w:val="none" w:sz="0" w:space="0" w:color="auto"/>
        <w:bottom w:val="none" w:sz="0" w:space="0" w:color="auto"/>
        <w:right w:val="none" w:sz="0" w:space="0" w:color="auto"/>
      </w:divBdr>
      <w:divsChild>
        <w:div w:id="2065248740">
          <w:marLeft w:val="0"/>
          <w:marRight w:val="0"/>
          <w:marTop w:val="0"/>
          <w:marBottom w:val="0"/>
          <w:divBdr>
            <w:top w:val="none" w:sz="0" w:space="0" w:color="auto"/>
            <w:left w:val="none" w:sz="0" w:space="0" w:color="auto"/>
            <w:bottom w:val="none" w:sz="0" w:space="0" w:color="auto"/>
            <w:right w:val="none" w:sz="0" w:space="0" w:color="auto"/>
          </w:divBdr>
          <w:divsChild>
            <w:div w:id="666902453">
              <w:marLeft w:val="0"/>
              <w:marRight w:val="0"/>
              <w:marTop w:val="0"/>
              <w:marBottom w:val="0"/>
              <w:divBdr>
                <w:top w:val="none" w:sz="0" w:space="0" w:color="auto"/>
                <w:left w:val="none" w:sz="0" w:space="0" w:color="auto"/>
                <w:bottom w:val="none" w:sz="0" w:space="0" w:color="auto"/>
                <w:right w:val="none" w:sz="0" w:space="0" w:color="auto"/>
              </w:divBdr>
              <w:divsChild>
                <w:div w:id="2105372374">
                  <w:marLeft w:val="0"/>
                  <w:marRight w:val="0"/>
                  <w:marTop w:val="0"/>
                  <w:marBottom w:val="0"/>
                  <w:divBdr>
                    <w:top w:val="none" w:sz="0" w:space="0" w:color="auto"/>
                    <w:left w:val="none" w:sz="0" w:space="0" w:color="auto"/>
                    <w:bottom w:val="none" w:sz="0" w:space="0" w:color="auto"/>
                    <w:right w:val="none" w:sz="0" w:space="0" w:color="auto"/>
                  </w:divBdr>
                  <w:divsChild>
                    <w:div w:id="883716924">
                      <w:marLeft w:val="0"/>
                      <w:marRight w:val="0"/>
                      <w:marTop w:val="0"/>
                      <w:marBottom w:val="0"/>
                      <w:divBdr>
                        <w:top w:val="none" w:sz="0" w:space="0" w:color="auto"/>
                        <w:left w:val="none" w:sz="0" w:space="0" w:color="auto"/>
                        <w:bottom w:val="none" w:sz="0" w:space="0" w:color="auto"/>
                        <w:right w:val="none" w:sz="0" w:space="0" w:color="auto"/>
                      </w:divBdr>
                    </w:div>
                    <w:div w:id="113117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5905">
      <w:bodyDiv w:val="1"/>
      <w:marLeft w:val="0"/>
      <w:marRight w:val="0"/>
      <w:marTop w:val="0"/>
      <w:marBottom w:val="0"/>
      <w:divBdr>
        <w:top w:val="none" w:sz="0" w:space="0" w:color="auto"/>
        <w:left w:val="none" w:sz="0" w:space="0" w:color="auto"/>
        <w:bottom w:val="none" w:sz="0" w:space="0" w:color="auto"/>
        <w:right w:val="none" w:sz="0" w:space="0" w:color="auto"/>
      </w:divBdr>
      <w:divsChild>
        <w:div w:id="30113791">
          <w:marLeft w:val="547"/>
          <w:marRight w:val="0"/>
          <w:marTop w:val="96"/>
          <w:marBottom w:val="0"/>
          <w:divBdr>
            <w:top w:val="none" w:sz="0" w:space="0" w:color="auto"/>
            <w:left w:val="none" w:sz="0" w:space="0" w:color="auto"/>
            <w:bottom w:val="none" w:sz="0" w:space="0" w:color="auto"/>
            <w:right w:val="none" w:sz="0" w:space="0" w:color="auto"/>
          </w:divBdr>
        </w:div>
      </w:divsChild>
    </w:div>
    <w:div w:id="57559616">
      <w:bodyDiv w:val="1"/>
      <w:marLeft w:val="0"/>
      <w:marRight w:val="0"/>
      <w:marTop w:val="0"/>
      <w:marBottom w:val="0"/>
      <w:divBdr>
        <w:top w:val="none" w:sz="0" w:space="0" w:color="auto"/>
        <w:left w:val="none" w:sz="0" w:space="0" w:color="auto"/>
        <w:bottom w:val="none" w:sz="0" w:space="0" w:color="auto"/>
        <w:right w:val="none" w:sz="0" w:space="0" w:color="auto"/>
      </w:divBdr>
    </w:div>
    <w:div w:id="97021906">
      <w:bodyDiv w:val="1"/>
      <w:marLeft w:val="0"/>
      <w:marRight w:val="0"/>
      <w:marTop w:val="0"/>
      <w:marBottom w:val="0"/>
      <w:divBdr>
        <w:top w:val="none" w:sz="0" w:space="0" w:color="auto"/>
        <w:left w:val="none" w:sz="0" w:space="0" w:color="auto"/>
        <w:bottom w:val="none" w:sz="0" w:space="0" w:color="auto"/>
        <w:right w:val="none" w:sz="0" w:space="0" w:color="auto"/>
      </w:divBdr>
      <w:divsChild>
        <w:div w:id="662205285">
          <w:marLeft w:val="1166"/>
          <w:marRight w:val="0"/>
          <w:marTop w:val="96"/>
          <w:marBottom w:val="0"/>
          <w:divBdr>
            <w:top w:val="none" w:sz="0" w:space="0" w:color="auto"/>
            <w:left w:val="none" w:sz="0" w:space="0" w:color="auto"/>
            <w:bottom w:val="none" w:sz="0" w:space="0" w:color="auto"/>
            <w:right w:val="none" w:sz="0" w:space="0" w:color="auto"/>
          </w:divBdr>
        </w:div>
      </w:divsChild>
    </w:div>
    <w:div w:id="126052768">
      <w:bodyDiv w:val="1"/>
      <w:marLeft w:val="0"/>
      <w:marRight w:val="0"/>
      <w:marTop w:val="0"/>
      <w:marBottom w:val="0"/>
      <w:divBdr>
        <w:top w:val="none" w:sz="0" w:space="0" w:color="auto"/>
        <w:left w:val="none" w:sz="0" w:space="0" w:color="auto"/>
        <w:bottom w:val="none" w:sz="0" w:space="0" w:color="auto"/>
        <w:right w:val="none" w:sz="0" w:space="0" w:color="auto"/>
      </w:divBdr>
      <w:divsChild>
        <w:div w:id="1323386955">
          <w:marLeft w:val="547"/>
          <w:marRight w:val="0"/>
          <w:marTop w:val="96"/>
          <w:marBottom w:val="0"/>
          <w:divBdr>
            <w:top w:val="none" w:sz="0" w:space="0" w:color="auto"/>
            <w:left w:val="none" w:sz="0" w:space="0" w:color="auto"/>
            <w:bottom w:val="none" w:sz="0" w:space="0" w:color="auto"/>
            <w:right w:val="none" w:sz="0" w:space="0" w:color="auto"/>
          </w:divBdr>
        </w:div>
      </w:divsChild>
    </w:div>
    <w:div w:id="130023641">
      <w:bodyDiv w:val="1"/>
      <w:marLeft w:val="0"/>
      <w:marRight w:val="0"/>
      <w:marTop w:val="0"/>
      <w:marBottom w:val="0"/>
      <w:divBdr>
        <w:top w:val="none" w:sz="0" w:space="0" w:color="auto"/>
        <w:left w:val="none" w:sz="0" w:space="0" w:color="auto"/>
        <w:bottom w:val="none" w:sz="0" w:space="0" w:color="auto"/>
        <w:right w:val="none" w:sz="0" w:space="0" w:color="auto"/>
      </w:divBdr>
    </w:div>
    <w:div w:id="223684599">
      <w:bodyDiv w:val="1"/>
      <w:marLeft w:val="0"/>
      <w:marRight w:val="0"/>
      <w:marTop w:val="0"/>
      <w:marBottom w:val="0"/>
      <w:divBdr>
        <w:top w:val="none" w:sz="0" w:space="0" w:color="auto"/>
        <w:left w:val="none" w:sz="0" w:space="0" w:color="auto"/>
        <w:bottom w:val="none" w:sz="0" w:space="0" w:color="auto"/>
        <w:right w:val="none" w:sz="0" w:space="0" w:color="auto"/>
      </w:divBdr>
    </w:div>
    <w:div w:id="262883502">
      <w:bodyDiv w:val="1"/>
      <w:marLeft w:val="0"/>
      <w:marRight w:val="0"/>
      <w:marTop w:val="0"/>
      <w:marBottom w:val="0"/>
      <w:divBdr>
        <w:top w:val="none" w:sz="0" w:space="0" w:color="auto"/>
        <w:left w:val="none" w:sz="0" w:space="0" w:color="auto"/>
        <w:bottom w:val="none" w:sz="0" w:space="0" w:color="auto"/>
        <w:right w:val="none" w:sz="0" w:space="0" w:color="auto"/>
      </w:divBdr>
    </w:div>
    <w:div w:id="269044082">
      <w:bodyDiv w:val="1"/>
      <w:marLeft w:val="0"/>
      <w:marRight w:val="0"/>
      <w:marTop w:val="0"/>
      <w:marBottom w:val="0"/>
      <w:divBdr>
        <w:top w:val="none" w:sz="0" w:space="0" w:color="auto"/>
        <w:left w:val="none" w:sz="0" w:space="0" w:color="auto"/>
        <w:bottom w:val="none" w:sz="0" w:space="0" w:color="auto"/>
        <w:right w:val="none" w:sz="0" w:space="0" w:color="auto"/>
      </w:divBdr>
      <w:divsChild>
        <w:div w:id="1588541521">
          <w:marLeft w:val="1166"/>
          <w:marRight w:val="0"/>
          <w:marTop w:val="96"/>
          <w:marBottom w:val="0"/>
          <w:divBdr>
            <w:top w:val="none" w:sz="0" w:space="0" w:color="auto"/>
            <w:left w:val="none" w:sz="0" w:space="0" w:color="auto"/>
            <w:bottom w:val="none" w:sz="0" w:space="0" w:color="auto"/>
            <w:right w:val="none" w:sz="0" w:space="0" w:color="auto"/>
          </w:divBdr>
        </w:div>
      </w:divsChild>
    </w:div>
    <w:div w:id="297496713">
      <w:bodyDiv w:val="1"/>
      <w:marLeft w:val="0"/>
      <w:marRight w:val="0"/>
      <w:marTop w:val="0"/>
      <w:marBottom w:val="0"/>
      <w:divBdr>
        <w:top w:val="none" w:sz="0" w:space="0" w:color="auto"/>
        <w:left w:val="none" w:sz="0" w:space="0" w:color="auto"/>
        <w:bottom w:val="none" w:sz="0" w:space="0" w:color="auto"/>
        <w:right w:val="none" w:sz="0" w:space="0" w:color="auto"/>
      </w:divBdr>
      <w:divsChild>
        <w:div w:id="1356615175">
          <w:marLeft w:val="547"/>
          <w:marRight w:val="0"/>
          <w:marTop w:val="82"/>
          <w:marBottom w:val="0"/>
          <w:divBdr>
            <w:top w:val="none" w:sz="0" w:space="0" w:color="auto"/>
            <w:left w:val="none" w:sz="0" w:space="0" w:color="auto"/>
            <w:bottom w:val="none" w:sz="0" w:space="0" w:color="auto"/>
            <w:right w:val="none" w:sz="0" w:space="0" w:color="auto"/>
          </w:divBdr>
        </w:div>
        <w:div w:id="2084176750">
          <w:marLeft w:val="1166"/>
          <w:marRight w:val="0"/>
          <w:marTop w:val="82"/>
          <w:marBottom w:val="0"/>
          <w:divBdr>
            <w:top w:val="none" w:sz="0" w:space="0" w:color="auto"/>
            <w:left w:val="none" w:sz="0" w:space="0" w:color="auto"/>
            <w:bottom w:val="none" w:sz="0" w:space="0" w:color="auto"/>
            <w:right w:val="none" w:sz="0" w:space="0" w:color="auto"/>
          </w:divBdr>
        </w:div>
      </w:divsChild>
    </w:div>
    <w:div w:id="409085936">
      <w:bodyDiv w:val="1"/>
      <w:marLeft w:val="0"/>
      <w:marRight w:val="0"/>
      <w:marTop w:val="0"/>
      <w:marBottom w:val="0"/>
      <w:divBdr>
        <w:top w:val="none" w:sz="0" w:space="0" w:color="auto"/>
        <w:left w:val="none" w:sz="0" w:space="0" w:color="auto"/>
        <w:bottom w:val="none" w:sz="0" w:space="0" w:color="auto"/>
        <w:right w:val="none" w:sz="0" w:space="0" w:color="auto"/>
      </w:divBdr>
    </w:div>
    <w:div w:id="508763815">
      <w:bodyDiv w:val="1"/>
      <w:marLeft w:val="0"/>
      <w:marRight w:val="0"/>
      <w:marTop w:val="0"/>
      <w:marBottom w:val="0"/>
      <w:divBdr>
        <w:top w:val="none" w:sz="0" w:space="0" w:color="auto"/>
        <w:left w:val="none" w:sz="0" w:space="0" w:color="auto"/>
        <w:bottom w:val="none" w:sz="0" w:space="0" w:color="auto"/>
        <w:right w:val="none" w:sz="0" w:space="0" w:color="auto"/>
      </w:divBdr>
    </w:div>
    <w:div w:id="514610845">
      <w:bodyDiv w:val="1"/>
      <w:marLeft w:val="0"/>
      <w:marRight w:val="0"/>
      <w:marTop w:val="0"/>
      <w:marBottom w:val="0"/>
      <w:divBdr>
        <w:top w:val="none" w:sz="0" w:space="0" w:color="auto"/>
        <w:left w:val="none" w:sz="0" w:space="0" w:color="auto"/>
        <w:bottom w:val="none" w:sz="0" w:space="0" w:color="auto"/>
        <w:right w:val="none" w:sz="0" w:space="0" w:color="auto"/>
      </w:divBdr>
      <w:divsChild>
        <w:div w:id="222562676">
          <w:marLeft w:val="547"/>
          <w:marRight w:val="0"/>
          <w:marTop w:val="96"/>
          <w:marBottom w:val="0"/>
          <w:divBdr>
            <w:top w:val="none" w:sz="0" w:space="0" w:color="auto"/>
            <w:left w:val="none" w:sz="0" w:space="0" w:color="auto"/>
            <w:bottom w:val="none" w:sz="0" w:space="0" w:color="auto"/>
            <w:right w:val="none" w:sz="0" w:space="0" w:color="auto"/>
          </w:divBdr>
        </w:div>
        <w:div w:id="1836534892">
          <w:marLeft w:val="1166"/>
          <w:marRight w:val="0"/>
          <w:marTop w:val="77"/>
          <w:marBottom w:val="0"/>
          <w:divBdr>
            <w:top w:val="none" w:sz="0" w:space="0" w:color="auto"/>
            <w:left w:val="none" w:sz="0" w:space="0" w:color="auto"/>
            <w:bottom w:val="none" w:sz="0" w:space="0" w:color="auto"/>
            <w:right w:val="none" w:sz="0" w:space="0" w:color="auto"/>
          </w:divBdr>
        </w:div>
        <w:div w:id="1955087254">
          <w:marLeft w:val="1166"/>
          <w:marRight w:val="0"/>
          <w:marTop w:val="77"/>
          <w:marBottom w:val="0"/>
          <w:divBdr>
            <w:top w:val="none" w:sz="0" w:space="0" w:color="auto"/>
            <w:left w:val="none" w:sz="0" w:space="0" w:color="auto"/>
            <w:bottom w:val="none" w:sz="0" w:space="0" w:color="auto"/>
            <w:right w:val="none" w:sz="0" w:space="0" w:color="auto"/>
          </w:divBdr>
        </w:div>
        <w:div w:id="15617323">
          <w:marLeft w:val="1166"/>
          <w:marRight w:val="0"/>
          <w:marTop w:val="77"/>
          <w:marBottom w:val="0"/>
          <w:divBdr>
            <w:top w:val="none" w:sz="0" w:space="0" w:color="auto"/>
            <w:left w:val="none" w:sz="0" w:space="0" w:color="auto"/>
            <w:bottom w:val="none" w:sz="0" w:space="0" w:color="auto"/>
            <w:right w:val="none" w:sz="0" w:space="0" w:color="auto"/>
          </w:divBdr>
        </w:div>
        <w:div w:id="68775904">
          <w:marLeft w:val="1166"/>
          <w:marRight w:val="0"/>
          <w:marTop w:val="77"/>
          <w:marBottom w:val="0"/>
          <w:divBdr>
            <w:top w:val="none" w:sz="0" w:space="0" w:color="auto"/>
            <w:left w:val="none" w:sz="0" w:space="0" w:color="auto"/>
            <w:bottom w:val="none" w:sz="0" w:space="0" w:color="auto"/>
            <w:right w:val="none" w:sz="0" w:space="0" w:color="auto"/>
          </w:divBdr>
        </w:div>
        <w:div w:id="921910257">
          <w:marLeft w:val="1166"/>
          <w:marRight w:val="0"/>
          <w:marTop w:val="77"/>
          <w:marBottom w:val="0"/>
          <w:divBdr>
            <w:top w:val="none" w:sz="0" w:space="0" w:color="auto"/>
            <w:left w:val="none" w:sz="0" w:space="0" w:color="auto"/>
            <w:bottom w:val="none" w:sz="0" w:space="0" w:color="auto"/>
            <w:right w:val="none" w:sz="0" w:space="0" w:color="auto"/>
          </w:divBdr>
        </w:div>
      </w:divsChild>
    </w:div>
    <w:div w:id="610281331">
      <w:bodyDiv w:val="1"/>
      <w:marLeft w:val="0"/>
      <w:marRight w:val="0"/>
      <w:marTop w:val="0"/>
      <w:marBottom w:val="0"/>
      <w:divBdr>
        <w:top w:val="none" w:sz="0" w:space="0" w:color="auto"/>
        <w:left w:val="none" w:sz="0" w:space="0" w:color="auto"/>
        <w:bottom w:val="none" w:sz="0" w:space="0" w:color="auto"/>
        <w:right w:val="none" w:sz="0" w:space="0" w:color="auto"/>
      </w:divBdr>
      <w:divsChild>
        <w:div w:id="1917394401">
          <w:marLeft w:val="547"/>
          <w:marRight w:val="0"/>
          <w:marTop w:val="96"/>
          <w:marBottom w:val="0"/>
          <w:divBdr>
            <w:top w:val="none" w:sz="0" w:space="0" w:color="auto"/>
            <w:left w:val="none" w:sz="0" w:space="0" w:color="auto"/>
            <w:bottom w:val="none" w:sz="0" w:space="0" w:color="auto"/>
            <w:right w:val="none" w:sz="0" w:space="0" w:color="auto"/>
          </w:divBdr>
        </w:div>
        <w:div w:id="1450005114">
          <w:marLeft w:val="1166"/>
          <w:marRight w:val="0"/>
          <w:marTop w:val="77"/>
          <w:marBottom w:val="0"/>
          <w:divBdr>
            <w:top w:val="none" w:sz="0" w:space="0" w:color="auto"/>
            <w:left w:val="none" w:sz="0" w:space="0" w:color="auto"/>
            <w:bottom w:val="none" w:sz="0" w:space="0" w:color="auto"/>
            <w:right w:val="none" w:sz="0" w:space="0" w:color="auto"/>
          </w:divBdr>
        </w:div>
        <w:div w:id="949363560">
          <w:marLeft w:val="1166"/>
          <w:marRight w:val="0"/>
          <w:marTop w:val="77"/>
          <w:marBottom w:val="0"/>
          <w:divBdr>
            <w:top w:val="none" w:sz="0" w:space="0" w:color="auto"/>
            <w:left w:val="none" w:sz="0" w:space="0" w:color="auto"/>
            <w:bottom w:val="none" w:sz="0" w:space="0" w:color="auto"/>
            <w:right w:val="none" w:sz="0" w:space="0" w:color="auto"/>
          </w:divBdr>
        </w:div>
        <w:div w:id="1020273894">
          <w:marLeft w:val="547"/>
          <w:marRight w:val="0"/>
          <w:marTop w:val="96"/>
          <w:marBottom w:val="0"/>
          <w:divBdr>
            <w:top w:val="none" w:sz="0" w:space="0" w:color="auto"/>
            <w:left w:val="none" w:sz="0" w:space="0" w:color="auto"/>
            <w:bottom w:val="none" w:sz="0" w:space="0" w:color="auto"/>
            <w:right w:val="none" w:sz="0" w:space="0" w:color="auto"/>
          </w:divBdr>
        </w:div>
        <w:div w:id="931472024">
          <w:marLeft w:val="547"/>
          <w:marRight w:val="0"/>
          <w:marTop w:val="96"/>
          <w:marBottom w:val="0"/>
          <w:divBdr>
            <w:top w:val="none" w:sz="0" w:space="0" w:color="auto"/>
            <w:left w:val="none" w:sz="0" w:space="0" w:color="auto"/>
            <w:bottom w:val="none" w:sz="0" w:space="0" w:color="auto"/>
            <w:right w:val="none" w:sz="0" w:space="0" w:color="auto"/>
          </w:divBdr>
        </w:div>
      </w:divsChild>
    </w:div>
    <w:div w:id="766930171">
      <w:bodyDiv w:val="1"/>
      <w:marLeft w:val="0"/>
      <w:marRight w:val="0"/>
      <w:marTop w:val="0"/>
      <w:marBottom w:val="0"/>
      <w:divBdr>
        <w:top w:val="none" w:sz="0" w:space="0" w:color="auto"/>
        <w:left w:val="none" w:sz="0" w:space="0" w:color="auto"/>
        <w:bottom w:val="none" w:sz="0" w:space="0" w:color="auto"/>
        <w:right w:val="none" w:sz="0" w:space="0" w:color="auto"/>
      </w:divBdr>
      <w:divsChild>
        <w:div w:id="1498035053">
          <w:marLeft w:val="547"/>
          <w:marRight w:val="0"/>
          <w:marTop w:val="96"/>
          <w:marBottom w:val="0"/>
          <w:divBdr>
            <w:top w:val="none" w:sz="0" w:space="0" w:color="auto"/>
            <w:left w:val="none" w:sz="0" w:space="0" w:color="auto"/>
            <w:bottom w:val="none" w:sz="0" w:space="0" w:color="auto"/>
            <w:right w:val="none" w:sz="0" w:space="0" w:color="auto"/>
          </w:divBdr>
        </w:div>
        <w:div w:id="1041369019">
          <w:marLeft w:val="547"/>
          <w:marRight w:val="0"/>
          <w:marTop w:val="96"/>
          <w:marBottom w:val="0"/>
          <w:divBdr>
            <w:top w:val="none" w:sz="0" w:space="0" w:color="auto"/>
            <w:left w:val="none" w:sz="0" w:space="0" w:color="auto"/>
            <w:bottom w:val="none" w:sz="0" w:space="0" w:color="auto"/>
            <w:right w:val="none" w:sz="0" w:space="0" w:color="auto"/>
          </w:divBdr>
        </w:div>
      </w:divsChild>
    </w:div>
    <w:div w:id="942372837">
      <w:bodyDiv w:val="1"/>
      <w:marLeft w:val="0"/>
      <w:marRight w:val="0"/>
      <w:marTop w:val="0"/>
      <w:marBottom w:val="0"/>
      <w:divBdr>
        <w:top w:val="none" w:sz="0" w:space="0" w:color="auto"/>
        <w:left w:val="none" w:sz="0" w:space="0" w:color="auto"/>
        <w:bottom w:val="none" w:sz="0" w:space="0" w:color="auto"/>
        <w:right w:val="none" w:sz="0" w:space="0" w:color="auto"/>
      </w:divBdr>
      <w:divsChild>
        <w:div w:id="1462118010">
          <w:marLeft w:val="547"/>
          <w:marRight w:val="0"/>
          <w:marTop w:val="96"/>
          <w:marBottom w:val="0"/>
          <w:divBdr>
            <w:top w:val="none" w:sz="0" w:space="0" w:color="auto"/>
            <w:left w:val="none" w:sz="0" w:space="0" w:color="auto"/>
            <w:bottom w:val="none" w:sz="0" w:space="0" w:color="auto"/>
            <w:right w:val="none" w:sz="0" w:space="0" w:color="auto"/>
          </w:divBdr>
        </w:div>
      </w:divsChild>
    </w:div>
    <w:div w:id="944842766">
      <w:bodyDiv w:val="1"/>
      <w:marLeft w:val="0"/>
      <w:marRight w:val="0"/>
      <w:marTop w:val="0"/>
      <w:marBottom w:val="0"/>
      <w:divBdr>
        <w:top w:val="none" w:sz="0" w:space="0" w:color="auto"/>
        <w:left w:val="none" w:sz="0" w:space="0" w:color="auto"/>
        <w:bottom w:val="none" w:sz="0" w:space="0" w:color="auto"/>
        <w:right w:val="none" w:sz="0" w:space="0" w:color="auto"/>
      </w:divBdr>
      <w:divsChild>
        <w:div w:id="2054846460">
          <w:marLeft w:val="547"/>
          <w:marRight w:val="0"/>
          <w:marTop w:val="96"/>
          <w:marBottom w:val="0"/>
          <w:divBdr>
            <w:top w:val="none" w:sz="0" w:space="0" w:color="auto"/>
            <w:left w:val="none" w:sz="0" w:space="0" w:color="auto"/>
            <w:bottom w:val="none" w:sz="0" w:space="0" w:color="auto"/>
            <w:right w:val="none" w:sz="0" w:space="0" w:color="auto"/>
          </w:divBdr>
        </w:div>
      </w:divsChild>
    </w:div>
    <w:div w:id="989401529">
      <w:bodyDiv w:val="1"/>
      <w:marLeft w:val="0"/>
      <w:marRight w:val="0"/>
      <w:marTop w:val="0"/>
      <w:marBottom w:val="0"/>
      <w:divBdr>
        <w:top w:val="none" w:sz="0" w:space="0" w:color="auto"/>
        <w:left w:val="none" w:sz="0" w:space="0" w:color="auto"/>
        <w:bottom w:val="none" w:sz="0" w:space="0" w:color="auto"/>
        <w:right w:val="none" w:sz="0" w:space="0" w:color="auto"/>
      </w:divBdr>
      <w:divsChild>
        <w:div w:id="719212694">
          <w:marLeft w:val="547"/>
          <w:marRight w:val="0"/>
          <w:marTop w:val="134"/>
          <w:marBottom w:val="0"/>
          <w:divBdr>
            <w:top w:val="none" w:sz="0" w:space="0" w:color="auto"/>
            <w:left w:val="none" w:sz="0" w:space="0" w:color="auto"/>
            <w:bottom w:val="none" w:sz="0" w:space="0" w:color="auto"/>
            <w:right w:val="none" w:sz="0" w:space="0" w:color="auto"/>
          </w:divBdr>
        </w:div>
      </w:divsChild>
    </w:div>
    <w:div w:id="1045327733">
      <w:bodyDiv w:val="1"/>
      <w:marLeft w:val="0"/>
      <w:marRight w:val="0"/>
      <w:marTop w:val="0"/>
      <w:marBottom w:val="0"/>
      <w:divBdr>
        <w:top w:val="none" w:sz="0" w:space="0" w:color="auto"/>
        <w:left w:val="none" w:sz="0" w:space="0" w:color="auto"/>
        <w:bottom w:val="none" w:sz="0" w:space="0" w:color="auto"/>
        <w:right w:val="none" w:sz="0" w:space="0" w:color="auto"/>
      </w:divBdr>
      <w:divsChild>
        <w:div w:id="1680348860">
          <w:marLeft w:val="547"/>
          <w:marRight w:val="0"/>
          <w:marTop w:val="86"/>
          <w:marBottom w:val="0"/>
          <w:divBdr>
            <w:top w:val="none" w:sz="0" w:space="0" w:color="auto"/>
            <w:left w:val="none" w:sz="0" w:space="0" w:color="auto"/>
            <w:bottom w:val="none" w:sz="0" w:space="0" w:color="auto"/>
            <w:right w:val="none" w:sz="0" w:space="0" w:color="auto"/>
          </w:divBdr>
        </w:div>
      </w:divsChild>
    </w:div>
    <w:div w:id="1117022237">
      <w:bodyDiv w:val="1"/>
      <w:marLeft w:val="0"/>
      <w:marRight w:val="0"/>
      <w:marTop w:val="0"/>
      <w:marBottom w:val="0"/>
      <w:divBdr>
        <w:top w:val="none" w:sz="0" w:space="0" w:color="auto"/>
        <w:left w:val="none" w:sz="0" w:space="0" w:color="auto"/>
        <w:bottom w:val="none" w:sz="0" w:space="0" w:color="auto"/>
        <w:right w:val="none" w:sz="0" w:space="0" w:color="auto"/>
      </w:divBdr>
      <w:divsChild>
        <w:div w:id="1265073503">
          <w:marLeft w:val="547"/>
          <w:marRight w:val="0"/>
          <w:marTop w:val="106"/>
          <w:marBottom w:val="0"/>
          <w:divBdr>
            <w:top w:val="none" w:sz="0" w:space="0" w:color="auto"/>
            <w:left w:val="none" w:sz="0" w:space="0" w:color="auto"/>
            <w:bottom w:val="none" w:sz="0" w:space="0" w:color="auto"/>
            <w:right w:val="none" w:sz="0" w:space="0" w:color="auto"/>
          </w:divBdr>
        </w:div>
      </w:divsChild>
    </w:div>
    <w:div w:id="1128359688">
      <w:bodyDiv w:val="1"/>
      <w:marLeft w:val="0"/>
      <w:marRight w:val="0"/>
      <w:marTop w:val="0"/>
      <w:marBottom w:val="0"/>
      <w:divBdr>
        <w:top w:val="none" w:sz="0" w:space="0" w:color="auto"/>
        <w:left w:val="none" w:sz="0" w:space="0" w:color="auto"/>
        <w:bottom w:val="none" w:sz="0" w:space="0" w:color="auto"/>
        <w:right w:val="none" w:sz="0" w:space="0" w:color="auto"/>
      </w:divBdr>
      <w:divsChild>
        <w:div w:id="933440467">
          <w:marLeft w:val="547"/>
          <w:marRight w:val="0"/>
          <w:marTop w:val="96"/>
          <w:marBottom w:val="0"/>
          <w:divBdr>
            <w:top w:val="none" w:sz="0" w:space="0" w:color="auto"/>
            <w:left w:val="none" w:sz="0" w:space="0" w:color="auto"/>
            <w:bottom w:val="none" w:sz="0" w:space="0" w:color="auto"/>
            <w:right w:val="none" w:sz="0" w:space="0" w:color="auto"/>
          </w:divBdr>
        </w:div>
      </w:divsChild>
    </w:div>
    <w:div w:id="1145270002">
      <w:bodyDiv w:val="1"/>
      <w:marLeft w:val="0"/>
      <w:marRight w:val="0"/>
      <w:marTop w:val="0"/>
      <w:marBottom w:val="0"/>
      <w:divBdr>
        <w:top w:val="none" w:sz="0" w:space="0" w:color="auto"/>
        <w:left w:val="none" w:sz="0" w:space="0" w:color="auto"/>
        <w:bottom w:val="none" w:sz="0" w:space="0" w:color="auto"/>
        <w:right w:val="none" w:sz="0" w:space="0" w:color="auto"/>
      </w:divBdr>
    </w:div>
    <w:div w:id="1145395079">
      <w:bodyDiv w:val="1"/>
      <w:marLeft w:val="0"/>
      <w:marRight w:val="0"/>
      <w:marTop w:val="0"/>
      <w:marBottom w:val="0"/>
      <w:divBdr>
        <w:top w:val="none" w:sz="0" w:space="0" w:color="auto"/>
        <w:left w:val="none" w:sz="0" w:space="0" w:color="auto"/>
        <w:bottom w:val="none" w:sz="0" w:space="0" w:color="auto"/>
        <w:right w:val="none" w:sz="0" w:space="0" w:color="auto"/>
      </w:divBdr>
      <w:divsChild>
        <w:div w:id="448085281">
          <w:marLeft w:val="0"/>
          <w:marRight w:val="0"/>
          <w:marTop w:val="0"/>
          <w:marBottom w:val="0"/>
          <w:divBdr>
            <w:top w:val="none" w:sz="0" w:space="0" w:color="auto"/>
            <w:left w:val="none" w:sz="0" w:space="0" w:color="auto"/>
            <w:bottom w:val="none" w:sz="0" w:space="0" w:color="auto"/>
            <w:right w:val="none" w:sz="0" w:space="0" w:color="auto"/>
          </w:divBdr>
        </w:div>
      </w:divsChild>
    </w:div>
    <w:div w:id="1235623413">
      <w:bodyDiv w:val="1"/>
      <w:marLeft w:val="0"/>
      <w:marRight w:val="0"/>
      <w:marTop w:val="0"/>
      <w:marBottom w:val="0"/>
      <w:divBdr>
        <w:top w:val="none" w:sz="0" w:space="0" w:color="auto"/>
        <w:left w:val="none" w:sz="0" w:space="0" w:color="auto"/>
        <w:bottom w:val="none" w:sz="0" w:space="0" w:color="auto"/>
        <w:right w:val="none" w:sz="0" w:space="0" w:color="auto"/>
      </w:divBdr>
      <w:divsChild>
        <w:div w:id="945691652">
          <w:marLeft w:val="0"/>
          <w:marRight w:val="0"/>
          <w:marTop w:val="0"/>
          <w:marBottom w:val="0"/>
          <w:divBdr>
            <w:top w:val="none" w:sz="0" w:space="0" w:color="auto"/>
            <w:left w:val="none" w:sz="0" w:space="0" w:color="auto"/>
            <w:bottom w:val="none" w:sz="0" w:space="0" w:color="auto"/>
            <w:right w:val="none" w:sz="0" w:space="0" w:color="auto"/>
          </w:divBdr>
          <w:divsChild>
            <w:div w:id="105664462">
              <w:marLeft w:val="0"/>
              <w:marRight w:val="0"/>
              <w:marTop w:val="0"/>
              <w:marBottom w:val="0"/>
              <w:divBdr>
                <w:top w:val="none" w:sz="0" w:space="0" w:color="auto"/>
                <w:left w:val="none" w:sz="0" w:space="0" w:color="auto"/>
                <w:bottom w:val="none" w:sz="0" w:space="0" w:color="auto"/>
                <w:right w:val="none" w:sz="0" w:space="0" w:color="auto"/>
              </w:divBdr>
              <w:divsChild>
                <w:div w:id="1923948873">
                  <w:marLeft w:val="0"/>
                  <w:marRight w:val="0"/>
                  <w:marTop w:val="0"/>
                  <w:marBottom w:val="0"/>
                  <w:divBdr>
                    <w:top w:val="none" w:sz="0" w:space="0" w:color="auto"/>
                    <w:left w:val="none" w:sz="0" w:space="0" w:color="auto"/>
                    <w:bottom w:val="none" w:sz="0" w:space="0" w:color="auto"/>
                    <w:right w:val="none" w:sz="0" w:space="0" w:color="auto"/>
                  </w:divBdr>
                  <w:divsChild>
                    <w:div w:id="407774494">
                      <w:marLeft w:val="0"/>
                      <w:marRight w:val="0"/>
                      <w:marTop w:val="0"/>
                      <w:marBottom w:val="0"/>
                      <w:divBdr>
                        <w:top w:val="none" w:sz="0" w:space="0" w:color="auto"/>
                        <w:left w:val="none" w:sz="0" w:space="0" w:color="auto"/>
                        <w:bottom w:val="none" w:sz="0" w:space="0" w:color="auto"/>
                        <w:right w:val="none" w:sz="0" w:space="0" w:color="auto"/>
                      </w:divBdr>
                      <w:divsChild>
                        <w:div w:id="74017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175324">
      <w:bodyDiv w:val="1"/>
      <w:marLeft w:val="0"/>
      <w:marRight w:val="0"/>
      <w:marTop w:val="0"/>
      <w:marBottom w:val="0"/>
      <w:divBdr>
        <w:top w:val="none" w:sz="0" w:space="0" w:color="auto"/>
        <w:left w:val="none" w:sz="0" w:space="0" w:color="auto"/>
        <w:bottom w:val="none" w:sz="0" w:space="0" w:color="auto"/>
        <w:right w:val="none" w:sz="0" w:space="0" w:color="auto"/>
      </w:divBdr>
      <w:divsChild>
        <w:div w:id="412623940">
          <w:marLeft w:val="0"/>
          <w:marRight w:val="0"/>
          <w:marTop w:val="0"/>
          <w:marBottom w:val="0"/>
          <w:divBdr>
            <w:top w:val="none" w:sz="0" w:space="0" w:color="auto"/>
            <w:left w:val="none" w:sz="0" w:space="0" w:color="auto"/>
            <w:bottom w:val="none" w:sz="0" w:space="0" w:color="auto"/>
            <w:right w:val="none" w:sz="0" w:space="0" w:color="auto"/>
          </w:divBdr>
          <w:divsChild>
            <w:div w:id="1498767828">
              <w:marLeft w:val="0"/>
              <w:marRight w:val="0"/>
              <w:marTop w:val="0"/>
              <w:marBottom w:val="0"/>
              <w:divBdr>
                <w:top w:val="none" w:sz="0" w:space="0" w:color="auto"/>
                <w:left w:val="none" w:sz="0" w:space="0" w:color="auto"/>
                <w:bottom w:val="none" w:sz="0" w:space="0" w:color="auto"/>
                <w:right w:val="none" w:sz="0" w:space="0" w:color="auto"/>
              </w:divBdr>
              <w:divsChild>
                <w:div w:id="235869381">
                  <w:marLeft w:val="0"/>
                  <w:marRight w:val="0"/>
                  <w:marTop w:val="0"/>
                  <w:marBottom w:val="0"/>
                  <w:divBdr>
                    <w:top w:val="none" w:sz="0" w:space="0" w:color="auto"/>
                    <w:left w:val="none" w:sz="0" w:space="0" w:color="auto"/>
                    <w:bottom w:val="none" w:sz="0" w:space="0" w:color="auto"/>
                    <w:right w:val="none" w:sz="0" w:space="0" w:color="auto"/>
                  </w:divBdr>
                  <w:divsChild>
                    <w:div w:id="1216743697">
                      <w:marLeft w:val="0"/>
                      <w:marRight w:val="0"/>
                      <w:marTop w:val="0"/>
                      <w:marBottom w:val="0"/>
                      <w:divBdr>
                        <w:top w:val="none" w:sz="0" w:space="0" w:color="auto"/>
                        <w:left w:val="none" w:sz="0" w:space="0" w:color="auto"/>
                        <w:bottom w:val="none" w:sz="0" w:space="0" w:color="auto"/>
                        <w:right w:val="none" w:sz="0" w:space="0" w:color="auto"/>
                      </w:divBdr>
                      <w:divsChild>
                        <w:div w:id="297303564">
                          <w:marLeft w:val="0"/>
                          <w:marRight w:val="0"/>
                          <w:marTop w:val="120"/>
                          <w:marBottom w:val="600"/>
                          <w:divBdr>
                            <w:top w:val="none" w:sz="0" w:space="0" w:color="auto"/>
                            <w:left w:val="none" w:sz="0" w:space="0" w:color="auto"/>
                            <w:bottom w:val="none" w:sz="0" w:space="0" w:color="auto"/>
                            <w:right w:val="none" w:sz="0" w:space="0" w:color="auto"/>
                          </w:divBdr>
                          <w:divsChild>
                            <w:div w:id="1799108295">
                              <w:marLeft w:val="0"/>
                              <w:marRight w:val="0"/>
                              <w:marTop w:val="0"/>
                              <w:marBottom w:val="0"/>
                              <w:divBdr>
                                <w:top w:val="none" w:sz="0" w:space="0" w:color="auto"/>
                                <w:left w:val="none" w:sz="0" w:space="0" w:color="auto"/>
                                <w:bottom w:val="none" w:sz="0" w:space="0" w:color="auto"/>
                                <w:right w:val="none" w:sz="0" w:space="0" w:color="auto"/>
                              </w:divBdr>
                              <w:divsChild>
                                <w:div w:id="1998218116">
                                  <w:marLeft w:val="0"/>
                                  <w:marRight w:val="0"/>
                                  <w:marTop w:val="0"/>
                                  <w:marBottom w:val="0"/>
                                  <w:divBdr>
                                    <w:top w:val="none" w:sz="0" w:space="0" w:color="auto"/>
                                    <w:left w:val="none" w:sz="0" w:space="0" w:color="auto"/>
                                    <w:bottom w:val="none" w:sz="0" w:space="0" w:color="auto"/>
                                    <w:right w:val="none" w:sz="0" w:space="0" w:color="auto"/>
                                  </w:divBdr>
                                  <w:divsChild>
                                    <w:div w:id="866063501">
                                      <w:marLeft w:val="0"/>
                                      <w:marRight w:val="0"/>
                                      <w:marTop w:val="0"/>
                                      <w:marBottom w:val="0"/>
                                      <w:divBdr>
                                        <w:top w:val="none" w:sz="0" w:space="0" w:color="auto"/>
                                        <w:left w:val="none" w:sz="0" w:space="0" w:color="auto"/>
                                        <w:bottom w:val="none" w:sz="0" w:space="0" w:color="auto"/>
                                        <w:right w:val="none" w:sz="0" w:space="0" w:color="auto"/>
                                      </w:divBdr>
                                      <w:divsChild>
                                        <w:div w:id="9978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3679701">
      <w:bodyDiv w:val="1"/>
      <w:marLeft w:val="0"/>
      <w:marRight w:val="0"/>
      <w:marTop w:val="0"/>
      <w:marBottom w:val="0"/>
      <w:divBdr>
        <w:top w:val="none" w:sz="0" w:space="0" w:color="auto"/>
        <w:left w:val="none" w:sz="0" w:space="0" w:color="auto"/>
        <w:bottom w:val="none" w:sz="0" w:space="0" w:color="auto"/>
        <w:right w:val="none" w:sz="0" w:space="0" w:color="auto"/>
      </w:divBdr>
    </w:div>
    <w:div w:id="1328048542">
      <w:bodyDiv w:val="1"/>
      <w:marLeft w:val="0"/>
      <w:marRight w:val="0"/>
      <w:marTop w:val="0"/>
      <w:marBottom w:val="0"/>
      <w:divBdr>
        <w:top w:val="none" w:sz="0" w:space="0" w:color="auto"/>
        <w:left w:val="none" w:sz="0" w:space="0" w:color="auto"/>
        <w:bottom w:val="none" w:sz="0" w:space="0" w:color="auto"/>
        <w:right w:val="none" w:sz="0" w:space="0" w:color="auto"/>
      </w:divBdr>
    </w:div>
    <w:div w:id="1360886206">
      <w:bodyDiv w:val="1"/>
      <w:marLeft w:val="0"/>
      <w:marRight w:val="0"/>
      <w:marTop w:val="0"/>
      <w:marBottom w:val="0"/>
      <w:divBdr>
        <w:top w:val="none" w:sz="0" w:space="0" w:color="auto"/>
        <w:left w:val="none" w:sz="0" w:space="0" w:color="auto"/>
        <w:bottom w:val="none" w:sz="0" w:space="0" w:color="auto"/>
        <w:right w:val="none" w:sz="0" w:space="0" w:color="auto"/>
      </w:divBdr>
    </w:div>
    <w:div w:id="1454860151">
      <w:bodyDiv w:val="1"/>
      <w:marLeft w:val="0"/>
      <w:marRight w:val="0"/>
      <w:marTop w:val="0"/>
      <w:marBottom w:val="0"/>
      <w:divBdr>
        <w:top w:val="none" w:sz="0" w:space="0" w:color="auto"/>
        <w:left w:val="none" w:sz="0" w:space="0" w:color="auto"/>
        <w:bottom w:val="none" w:sz="0" w:space="0" w:color="auto"/>
        <w:right w:val="none" w:sz="0" w:space="0" w:color="auto"/>
      </w:divBdr>
      <w:divsChild>
        <w:div w:id="1614049530">
          <w:marLeft w:val="547"/>
          <w:marRight w:val="0"/>
          <w:marTop w:val="125"/>
          <w:marBottom w:val="0"/>
          <w:divBdr>
            <w:top w:val="none" w:sz="0" w:space="0" w:color="auto"/>
            <w:left w:val="none" w:sz="0" w:space="0" w:color="auto"/>
            <w:bottom w:val="none" w:sz="0" w:space="0" w:color="auto"/>
            <w:right w:val="none" w:sz="0" w:space="0" w:color="auto"/>
          </w:divBdr>
        </w:div>
      </w:divsChild>
    </w:div>
    <w:div w:id="1486899484">
      <w:bodyDiv w:val="1"/>
      <w:marLeft w:val="0"/>
      <w:marRight w:val="0"/>
      <w:marTop w:val="0"/>
      <w:marBottom w:val="0"/>
      <w:divBdr>
        <w:top w:val="none" w:sz="0" w:space="0" w:color="auto"/>
        <w:left w:val="none" w:sz="0" w:space="0" w:color="auto"/>
        <w:bottom w:val="none" w:sz="0" w:space="0" w:color="auto"/>
        <w:right w:val="none" w:sz="0" w:space="0" w:color="auto"/>
      </w:divBdr>
    </w:div>
    <w:div w:id="1533570468">
      <w:bodyDiv w:val="1"/>
      <w:marLeft w:val="0"/>
      <w:marRight w:val="0"/>
      <w:marTop w:val="0"/>
      <w:marBottom w:val="0"/>
      <w:divBdr>
        <w:top w:val="none" w:sz="0" w:space="0" w:color="auto"/>
        <w:left w:val="none" w:sz="0" w:space="0" w:color="auto"/>
        <w:bottom w:val="none" w:sz="0" w:space="0" w:color="auto"/>
        <w:right w:val="none" w:sz="0" w:space="0" w:color="auto"/>
      </w:divBdr>
      <w:divsChild>
        <w:div w:id="1208027195">
          <w:marLeft w:val="547"/>
          <w:marRight w:val="0"/>
          <w:marTop w:val="144"/>
          <w:marBottom w:val="0"/>
          <w:divBdr>
            <w:top w:val="none" w:sz="0" w:space="0" w:color="auto"/>
            <w:left w:val="none" w:sz="0" w:space="0" w:color="auto"/>
            <w:bottom w:val="none" w:sz="0" w:space="0" w:color="auto"/>
            <w:right w:val="none" w:sz="0" w:space="0" w:color="auto"/>
          </w:divBdr>
        </w:div>
      </w:divsChild>
    </w:div>
    <w:div w:id="1677152518">
      <w:bodyDiv w:val="1"/>
      <w:marLeft w:val="0"/>
      <w:marRight w:val="0"/>
      <w:marTop w:val="0"/>
      <w:marBottom w:val="0"/>
      <w:divBdr>
        <w:top w:val="none" w:sz="0" w:space="0" w:color="auto"/>
        <w:left w:val="none" w:sz="0" w:space="0" w:color="auto"/>
        <w:bottom w:val="none" w:sz="0" w:space="0" w:color="auto"/>
        <w:right w:val="none" w:sz="0" w:space="0" w:color="auto"/>
      </w:divBdr>
      <w:divsChild>
        <w:div w:id="309794590">
          <w:marLeft w:val="547"/>
          <w:marRight w:val="0"/>
          <w:marTop w:val="86"/>
          <w:marBottom w:val="0"/>
          <w:divBdr>
            <w:top w:val="none" w:sz="0" w:space="0" w:color="auto"/>
            <w:left w:val="none" w:sz="0" w:space="0" w:color="auto"/>
            <w:bottom w:val="none" w:sz="0" w:space="0" w:color="auto"/>
            <w:right w:val="none" w:sz="0" w:space="0" w:color="auto"/>
          </w:divBdr>
        </w:div>
      </w:divsChild>
    </w:div>
    <w:div w:id="1767771684">
      <w:bodyDiv w:val="1"/>
      <w:marLeft w:val="0"/>
      <w:marRight w:val="0"/>
      <w:marTop w:val="0"/>
      <w:marBottom w:val="0"/>
      <w:divBdr>
        <w:top w:val="none" w:sz="0" w:space="0" w:color="auto"/>
        <w:left w:val="none" w:sz="0" w:space="0" w:color="auto"/>
        <w:bottom w:val="none" w:sz="0" w:space="0" w:color="auto"/>
        <w:right w:val="none" w:sz="0" w:space="0" w:color="auto"/>
      </w:divBdr>
    </w:div>
    <w:div w:id="1810046777">
      <w:bodyDiv w:val="1"/>
      <w:marLeft w:val="0"/>
      <w:marRight w:val="0"/>
      <w:marTop w:val="0"/>
      <w:marBottom w:val="0"/>
      <w:divBdr>
        <w:top w:val="none" w:sz="0" w:space="0" w:color="auto"/>
        <w:left w:val="none" w:sz="0" w:space="0" w:color="auto"/>
        <w:bottom w:val="none" w:sz="0" w:space="0" w:color="auto"/>
        <w:right w:val="none" w:sz="0" w:space="0" w:color="auto"/>
      </w:divBdr>
      <w:divsChild>
        <w:div w:id="1240100040">
          <w:marLeft w:val="547"/>
          <w:marRight w:val="0"/>
          <w:marTop w:val="86"/>
          <w:marBottom w:val="0"/>
          <w:divBdr>
            <w:top w:val="none" w:sz="0" w:space="0" w:color="auto"/>
            <w:left w:val="none" w:sz="0" w:space="0" w:color="auto"/>
            <w:bottom w:val="none" w:sz="0" w:space="0" w:color="auto"/>
            <w:right w:val="none" w:sz="0" w:space="0" w:color="auto"/>
          </w:divBdr>
        </w:div>
      </w:divsChild>
    </w:div>
    <w:div w:id="1834954145">
      <w:bodyDiv w:val="1"/>
      <w:marLeft w:val="0"/>
      <w:marRight w:val="0"/>
      <w:marTop w:val="0"/>
      <w:marBottom w:val="0"/>
      <w:divBdr>
        <w:top w:val="none" w:sz="0" w:space="0" w:color="auto"/>
        <w:left w:val="none" w:sz="0" w:space="0" w:color="auto"/>
        <w:bottom w:val="none" w:sz="0" w:space="0" w:color="auto"/>
        <w:right w:val="none" w:sz="0" w:space="0" w:color="auto"/>
      </w:divBdr>
      <w:divsChild>
        <w:div w:id="269437553">
          <w:marLeft w:val="547"/>
          <w:marRight w:val="0"/>
          <w:marTop w:val="154"/>
          <w:marBottom w:val="0"/>
          <w:divBdr>
            <w:top w:val="none" w:sz="0" w:space="0" w:color="auto"/>
            <w:left w:val="none" w:sz="0" w:space="0" w:color="auto"/>
            <w:bottom w:val="none" w:sz="0" w:space="0" w:color="auto"/>
            <w:right w:val="none" w:sz="0" w:space="0" w:color="auto"/>
          </w:divBdr>
        </w:div>
      </w:divsChild>
    </w:div>
    <w:div w:id="1861312483">
      <w:bodyDiv w:val="1"/>
      <w:marLeft w:val="0"/>
      <w:marRight w:val="0"/>
      <w:marTop w:val="0"/>
      <w:marBottom w:val="0"/>
      <w:divBdr>
        <w:top w:val="none" w:sz="0" w:space="0" w:color="auto"/>
        <w:left w:val="none" w:sz="0" w:space="0" w:color="auto"/>
        <w:bottom w:val="none" w:sz="0" w:space="0" w:color="auto"/>
        <w:right w:val="none" w:sz="0" w:space="0" w:color="auto"/>
      </w:divBdr>
      <w:divsChild>
        <w:div w:id="457918208">
          <w:marLeft w:val="0"/>
          <w:marRight w:val="0"/>
          <w:marTop w:val="0"/>
          <w:marBottom w:val="0"/>
          <w:divBdr>
            <w:top w:val="none" w:sz="0" w:space="0" w:color="auto"/>
            <w:left w:val="none" w:sz="0" w:space="0" w:color="auto"/>
            <w:bottom w:val="none" w:sz="0" w:space="0" w:color="auto"/>
            <w:right w:val="none" w:sz="0" w:space="0" w:color="auto"/>
          </w:divBdr>
          <w:divsChild>
            <w:div w:id="178353074">
              <w:marLeft w:val="0"/>
              <w:marRight w:val="0"/>
              <w:marTop w:val="0"/>
              <w:marBottom w:val="0"/>
              <w:divBdr>
                <w:top w:val="none" w:sz="0" w:space="0" w:color="auto"/>
                <w:left w:val="none" w:sz="0" w:space="0" w:color="auto"/>
                <w:bottom w:val="none" w:sz="0" w:space="0" w:color="auto"/>
                <w:right w:val="none" w:sz="0" w:space="0" w:color="auto"/>
              </w:divBdr>
              <w:divsChild>
                <w:div w:id="1784684710">
                  <w:marLeft w:val="0"/>
                  <w:marRight w:val="0"/>
                  <w:marTop w:val="0"/>
                  <w:marBottom w:val="0"/>
                  <w:divBdr>
                    <w:top w:val="none" w:sz="0" w:space="0" w:color="auto"/>
                    <w:left w:val="none" w:sz="0" w:space="0" w:color="auto"/>
                    <w:bottom w:val="none" w:sz="0" w:space="0" w:color="auto"/>
                    <w:right w:val="none" w:sz="0" w:space="0" w:color="auto"/>
                  </w:divBdr>
                  <w:divsChild>
                    <w:div w:id="590087997">
                      <w:marLeft w:val="0"/>
                      <w:marRight w:val="0"/>
                      <w:marTop w:val="0"/>
                      <w:marBottom w:val="0"/>
                      <w:divBdr>
                        <w:top w:val="none" w:sz="0" w:space="0" w:color="auto"/>
                        <w:left w:val="none" w:sz="0" w:space="0" w:color="auto"/>
                        <w:bottom w:val="none" w:sz="0" w:space="0" w:color="auto"/>
                        <w:right w:val="none" w:sz="0" w:space="0" w:color="auto"/>
                      </w:divBdr>
                      <w:divsChild>
                        <w:div w:id="1306351646">
                          <w:marLeft w:val="0"/>
                          <w:marRight w:val="0"/>
                          <w:marTop w:val="120"/>
                          <w:marBottom w:val="600"/>
                          <w:divBdr>
                            <w:top w:val="none" w:sz="0" w:space="0" w:color="auto"/>
                            <w:left w:val="none" w:sz="0" w:space="0" w:color="auto"/>
                            <w:bottom w:val="none" w:sz="0" w:space="0" w:color="auto"/>
                            <w:right w:val="none" w:sz="0" w:space="0" w:color="auto"/>
                          </w:divBdr>
                          <w:divsChild>
                            <w:div w:id="61636595">
                              <w:marLeft w:val="0"/>
                              <w:marRight w:val="0"/>
                              <w:marTop w:val="0"/>
                              <w:marBottom w:val="0"/>
                              <w:divBdr>
                                <w:top w:val="none" w:sz="0" w:space="0" w:color="auto"/>
                                <w:left w:val="none" w:sz="0" w:space="0" w:color="auto"/>
                                <w:bottom w:val="none" w:sz="0" w:space="0" w:color="auto"/>
                                <w:right w:val="none" w:sz="0" w:space="0" w:color="auto"/>
                              </w:divBdr>
                              <w:divsChild>
                                <w:div w:id="2075425961">
                                  <w:marLeft w:val="0"/>
                                  <w:marRight w:val="0"/>
                                  <w:marTop w:val="0"/>
                                  <w:marBottom w:val="0"/>
                                  <w:divBdr>
                                    <w:top w:val="none" w:sz="0" w:space="0" w:color="auto"/>
                                    <w:left w:val="none" w:sz="0" w:space="0" w:color="auto"/>
                                    <w:bottom w:val="none" w:sz="0" w:space="0" w:color="auto"/>
                                    <w:right w:val="none" w:sz="0" w:space="0" w:color="auto"/>
                                  </w:divBdr>
                                  <w:divsChild>
                                    <w:div w:id="2102604967">
                                      <w:marLeft w:val="0"/>
                                      <w:marRight w:val="0"/>
                                      <w:marTop w:val="0"/>
                                      <w:marBottom w:val="0"/>
                                      <w:divBdr>
                                        <w:top w:val="none" w:sz="0" w:space="0" w:color="auto"/>
                                        <w:left w:val="none" w:sz="0" w:space="0" w:color="auto"/>
                                        <w:bottom w:val="none" w:sz="0" w:space="0" w:color="auto"/>
                                        <w:right w:val="none" w:sz="0" w:space="0" w:color="auto"/>
                                      </w:divBdr>
                                      <w:divsChild>
                                        <w:div w:id="9509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381107">
      <w:bodyDiv w:val="1"/>
      <w:marLeft w:val="0"/>
      <w:marRight w:val="0"/>
      <w:marTop w:val="0"/>
      <w:marBottom w:val="0"/>
      <w:divBdr>
        <w:top w:val="none" w:sz="0" w:space="0" w:color="auto"/>
        <w:left w:val="none" w:sz="0" w:space="0" w:color="auto"/>
        <w:bottom w:val="none" w:sz="0" w:space="0" w:color="auto"/>
        <w:right w:val="none" w:sz="0" w:space="0" w:color="auto"/>
      </w:divBdr>
    </w:div>
    <w:div w:id="1874225602">
      <w:bodyDiv w:val="1"/>
      <w:marLeft w:val="0"/>
      <w:marRight w:val="0"/>
      <w:marTop w:val="0"/>
      <w:marBottom w:val="0"/>
      <w:divBdr>
        <w:top w:val="none" w:sz="0" w:space="0" w:color="auto"/>
        <w:left w:val="none" w:sz="0" w:space="0" w:color="auto"/>
        <w:bottom w:val="none" w:sz="0" w:space="0" w:color="auto"/>
        <w:right w:val="none" w:sz="0" w:space="0" w:color="auto"/>
      </w:divBdr>
    </w:div>
    <w:div w:id="1922061507">
      <w:bodyDiv w:val="1"/>
      <w:marLeft w:val="0"/>
      <w:marRight w:val="0"/>
      <w:marTop w:val="0"/>
      <w:marBottom w:val="0"/>
      <w:divBdr>
        <w:top w:val="none" w:sz="0" w:space="0" w:color="auto"/>
        <w:left w:val="none" w:sz="0" w:space="0" w:color="auto"/>
        <w:bottom w:val="none" w:sz="0" w:space="0" w:color="auto"/>
        <w:right w:val="none" w:sz="0" w:space="0" w:color="auto"/>
      </w:divBdr>
    </w:div>
    <w:div w:id="2035301781">
      <w:bodyDiv w:val="1"/>
      <w:marLeft w:val="0"/>
      <w:marRight w:val="0"/>
      <w:marTop w:val="0"/>
      <w:marBottom w:val="0"/>
      <w:divBdr>
        <w:top w:val="none" w:sz="0" w:space="0" w:color="auto"/>
        <w:left w:val="none" w:sz="0" w:space="0" w:color="auto"/>
        <w:bottom w:val="none" w:sz="0" w:space="0" w:color="auto"/>
        <w:right w:val="none" w:sz="0" w:space="0" w:color="auto"/>
      </w:divBdr>
      <w:divsChild>
        <w:div w:id="787820731">
          <w:marLeft w:val="0"/>
          <w:marRight w:val="0"/>
          <w:marTop w:val="0"/>
          <w:marBottom w:val="0"/>
          <w:divBdr>
            <w:top w:val="none" w:sz="0" w:space="0" w:color="auto"/>
            <w:left w:val="none" w:sz="0" w:space="0" w:color="auto"/>
            <w:bottom w:val="none" w:sz="0" w:space="0" w:color="auto"/>
            <w:right w:val="none" w:sz="0" w:space="0" w:color="auto"/>
          </w:divBdr>
          <w:divsChild>
            <w:div w:id="1354569577">
              <w:marLeft w:val="0"/>
              <w:marRight w:val="0"/>
              <w:marTop w:val="0"/>
              <w:marBottom w:val="0"/>
              <w:divBdr>
                <w:top w:val="none" w:sz="0" w:space="0" w:color="auto"/>
                <w:left w:val="none" w:sz="0" w:space="0" w:color="auto"/>
                <w:bottom w:val="none" w:sz="0" w:space="0" w:color="auto"/>
                <w:right w:val="none" w:sz="0" w:space="0" w:color="auto"/>
              </w:divBdr>
              <w:divsChild>
                <w:div w:id="1288201322">
                  <w:marLeft w:val="0"/>
                  <w:marRight w:val="0"/>
                  <w:marTop w:val="0"/>
                  <w:marBottom w:val="0"/>
                  <w:divBdr>
                    <w:top w:val="none" w:sz="0" w:space="0" w:color="auto"/>
                    <w:left w:val="none" w:sz="0" w:space="0" w:color="auto"/>
                    <w:bottom w:val="none" w:sz="0" w:space="0" w:color="auto"/>
                    <w:right w:val="none" w:sz="0" w:space="0" w:color="auto"/>
                  </w:divBdr>
                  <w:divsChild>
                    <w:div w:id="213636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150427">
      <w:bodyDiv w:val="1"/>
      <w:marLeft w:val="0"/>
      <w:marRight w:val="0"/>
      <w:marTop w:val="0"/>
      <w:marBottom w:val="0"/>
      <w:divBdr>
        <w:top w:val="none" w:sz="0" w:space="0" w:color="auto"/>
        <w:left w:val="none" w:sz="0" w:space="0" w:color="auto"/>
        <w:bottom w:val="none" w:sz="0" w:space="0" w:color="auto"/>
        <w:right w:val="none" w:sz="0" w:space="0" w:color="auto"/>
      </w:divBdr>
      <w:divsChild>
        <w:div w:id="1242252192">
          <w:marLeft w:val="547"/>
          <w:marRight w:val="0"/>
          <w:marTop w:val="106"/>
          <w:marBottom w:val="0"/>
          <w:divBdr>
            <w:top w:val="none" w:sz="0" w:space="0" w:color="auto"/>
            <w:left w:val="none" w:sz="0" w:space="0" w:color="auto"/>
            <w:bottom w:val="none" w:sz="0" w:space="0" w:color="auto"/>
            <w:right w:val="none" w:sz="0" w:space="0" w:color="auto"/>
          </w:divBdr>
        </w:div>
      </w:divsChild>
    </w:div>
    <w:div w:id="2111584029">
      <w:bodyDiv w:val="1"/>
      <w:marLeft w:val="0"/>
      <w:marRight w:val="0"/>
      <w:marTop w:val="0"/>
      <w:marBottom w:val="0"/>
      <w:divBdr>
        <w:top w:val="none" w:sz="0" w:space="0" w:color="auto"/>
        <w:left w:val="none" w:sz="0" w:space="0" w:color="auto"/>
        <w:bottom w:val="none" w:sz="0" w:space="0" w:color="auto"/>
        <w:right w:val="none" w:sz="0" w:space="0" w:color="auto"/>
      </w:divBdr>
      <w:divsChild>
        <w:div w:id="356085941">
          <w:marLeft w:val="0"/>
          <w:marRight w:val="0"/>
          <w:marTop w:val="0"/>
          <w:marBottom w:val="0"/>
          <w:divBdr>
            <w:top w:val="none" w:sz="0" w:space="0" w:color="auto"/>
            <w:left w:val="none" w:sz="0" w:space="0" w:color="auto"/>
            <w:bottom w:val="none" w:sz="0" w:space="0" w:color="auto"/>
            <w:right w:val="none" w:sz="0" w:space="0" w:color="auto"/>
          </w:divBdr>
          <w:divsChild>
            <w:div w:id="240875629">
              <w:marLeft w:val="0"/>
              <w:marRight w:val="0"/>
              <w:marTop w:val="0"/>
              <w:marBottom w:val="0"/>
              <w:divBdr>
                <w:top w:val="none" w:sz="0" w:space="0" w:color="auto"/>
                <w:left w:val="none" w:sz="0" w:space="0" w:color="auto"/>
                <w:bottom w:val="none" w:sz="0" w:space="0" w:color="auto"/>
                <w:right w:val="none" w:sz="0" w:space="0" w:color="auto"/>
              </w:divBdr>
              <w:divsChild>
                <w:div w:id="2076390217">
                  <w:marLeft w:val="0"/>
                  <w:marRight w:val="0"/>
                  <w:marTop w:val="0"/>
                  <w:marBottom w:val="0"/>
                  <w:divBdr>
                    <w:top w:val="none" w:sz="0" w:space="0" w:color="auto"/>
                    <w:left w:val="none" w:sz="0" w:space="0" w:color="auto"/>
                    <w:bottom w:val="none" w:sz="0" w:space="0" w:color="auto"/>
                    <w:right w:val="none" w:sz="0" w:space="0" w:color="auto"/>
                  </w:divBdr>
                  <w:divsChild>
                    <w:div w:id="1025864315">
                      <w:marLeft w:val="0"/>
                      <w:marRight w:val="0"/>
                      <w:marTop w:val="0"/>
                      <w:marBottom w:val="0"/>
                      <w:divBdr>
                        <w:top w:val="none" w:sz="0" w:space="0" w:color="auto"/>
                        <w:left w:val="none" w:sz="0" w:space="0" w:color="auto"/>
                        <w:bottom w:val="none" w:sz="0" w:space="0" w:color="auto"/>
                        <w:right w:val="none" w:sz="0" w:space="0" w:color="auto"/>
                      </w:divBdr>
                      <w:divsChild>
                        <w:div w:id="636570647">
                          <w:marLeft w:val="0"/>
                          <w:marRight w:val="0"/>
                          <w:marTop w:val="0"/>
                          <w:marBottom w:val="0"/>
                          <w:divBdr>
                            <w:top w:val="single" w:sz="12" w:space="7" w:color="D6D6D6"/>
                            <w:left w:val="single" w:sz="12" w:space="0" w:color="D6D6D6"/>
                            <w:bottom w:val="single" w:sz="12" w:space="0" w:color="D6D6D6"/>
                            <w:right w:val="single" w:sz="12" w:space="0" w:color="D6D6D6"/>
                          </w:divBdr>
                          <w:divsChild>
                            <w:div w:id="305401885">
                              <w:marLeft w:val="195"/>
                              <w:marRight w:val="19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gdc.gov/standards/monthlyStandardsUpdate/inde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inkedin.com/groups?home=&amp;gid=824367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maitra@fgdc.gov"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gdc.gov/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560CB-C156-4DA4-B00D-DF67D7B74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1166</Words>
  <Characters>6650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October 2014 Standards Update</vt:lpstr>
    </vt:vector>
  </TitlesOfParts>
  <Company>U.S. Geological Survey</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2014 Standards Update</dc:title>
  <dc:creator>Julie Binder Maitra</dc:creator>
  <cp:keywords>standards;2015-04</cp:keywords>
  <cp:lastModifiedBy>Maitra, Julie Binder</cp:lastModifiedBy>
  <cp:revision>4</cp:revision>
  <cp:lastPrinted>2015-06-22T18:24:00Z</cp:lastPrinted>
  <dcterms:created xsi:type="dcterms:W3CDTF">2015-07-06T15:25:00Z</dcterms:created>
  <dcterms:modified xsi:type="dcterms:W3CDTF">2015-07-06T16:15:00Z</dcterms:modified>
</cp:coreProperties>
</file>